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171" w14:textId="70DFC71D" w:rsidR="00995D1C" w:rsidRPr="001D700D" w:rsidRDefault="001D700D" w:rsidP="00DE43DE">
      <w:pPr>
        <w:rPr>
          <w:sz w:val="22"/>
          <w:szCs w:val="22"/>
        </w:rPr>
      </w:pPr>
      <w:r w:rsidRPr="001D700D">
        <w:rPr>
          <w:sz w:val="22"/>
          <w:szCs w:val="22"/>
        </w:rPr>
        <w:t>Z</w:t>
      </w:r>
      <w:r>
        <w:rPr>
          <w:sz w:val="22"/>
          <w:szCs w:val="22"/>
        </w:rPr>
        <w:t>ałącznik</w:t>
      </w:r>
      <w:r w:rsidR="00C62CE7">
        <w:rPr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 w:rsidR="006B2994">
        <w:rPr>
          <w:sz w:val="22"/>
          <w:szCs w:val="22"/>
        </w:rPr>
        <w:t>12</w:t>
      </w:r>
      <w:r w:rsidRPr="001D700D">
        <w:rPr>
          <w:sz w:val="22"/>
          <w:szCs w:val="22"/>
        </w:rPr>
        <w:t>.</w:t>
      </w:r>
    </w:p>
    <w:p w14:paraId="51BBA598" w14:textId="77777777" w:rsidR="001D700D" w:rsidRPr="00037337" w:rsidRDefault="001D700D" w:rsidP="00DE43DE">
      <w:pPr>
        <w:jc w:val="both"/>
        <w:rPr>
          <w:sz w:val="22"/>
          <w:szCs w:val="22"/>
        </w:rPr>
      </w:pPr>
    </w:p>
    <w:p w14:paraId="26CCA53E" w14:textId="352E0643" w:rsidR="00FA0019" w:rsidRPr="00D86B37" w:rsidRDefault="00457B75" w:rsidP="00DE43DE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LECZENIE</w:t>
      </w:r>
      <w:r w:rsidR="00C62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CHORYCH</w:t>
      </w:r>
      <w:r w:rsidR="00C62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r w:rsidR="00C62CE7">
        <w:rPr>
          <w:b/>
          <w:sz w:val="28"/>
          <w:szCs w:val="28"/>
        </w:rPr>
        <w:t xml:space="preserve"> </w:t>
      </w:r>
      <w:r w:rsidR="00AD37DB">
        <w:rPr>
          <w:b/>
          <w:sz w:val="28"/>
          <w:szCs w:val="28"/>
        </w:rPr>
        <w:t>CHŁONIAKI</w:t>
      </w:r>
      <w:r w:rsidR="00C62CE7">
        <w:rPr>
          <w:b/>
          <w:sz w:val="28"/>
          <w:szCs w:val="28"/>
        </w:rPr>
        <w:t xml:space="preserve"> </w:t>
      </w:r>
      <w:r w:rsidR="00AD37DB">
        <w:rPr>
          <w:b/>
          <w:sz w:val="28"/>
          <w:szCs w:val="28"/>
        </w:rPr>
        <w:t>B-KOMÓRKOWE</w:t>
      </w:r>
      <w:r w:rsidR="00C62CE7">
        <w:rPr>
          <w:b/>
          <w:sz w:val="28"/>
          <w:szCs w:val="28"/>
        </w:rPr>
        <w:t xml:space="preserve"> </w:t>
      </w:r>
      <w:r w:rsidR="006F4502" w:rsidRPr="006F4502">
        <w:rPr>
          <w:b/>
          <w:sz w:val="28"/>
          <w:szCs w:val="28"/>
        </w:rPr>
        <w:t>(ICD-10</w:t>
      </w:r>
      <w:r>
        <w:rPr>
          <w:b/>
          <w:sz w:val="28"/>
          <w:szCs w:val="28"/>
        </w:rPr>
        <w:t>:</w:t>
      </w:r>
      <w:r w:rsidR="00C62CE7">
        <w:rPr>
          <w:b/>
          <w:sz w:val="28"/>
          <w:szCs w:val="28"/>
        </w:rPr>
        <w:t xml:space="preserve"> </w:t>
      </w:r>
      <w:r w:rsidR="00721DC4">
        <w:rPr>
          <w:b/>
          <w:sz w:val="28"/>
          <w:szCs w:val="28"/>
        </w:rPr>
        <w:t>C82,</w:t>
      </w:r>
      <w:r w:rsidR="00C62CE7">
        <w:rPr>
          <w:b/>
          <w:sz w:val="28"/>
          <w:szCs w:val="28"/>
        </w:rPr>
        <w:t xml:space="preserve"> </w:t>
      </w:r>
      <w:r w:rsidR="006F4502" w:rsidRPr="006F4502">
        <w:rPr>
          <w:b/>
          <w:sz w:val="28"/>
          <w:szCs w:val="28"/>
        </w:rPr>
        <w:t>C83,</w:t>
      </w:r>
      <w:r w:rsidR="00C62CE7">
        <w:rPr>
          <w:b/>
          <w:sz w:val="28"/>
          <w:szCs w:val="28"/>
        </w:rPr>
        <w:t xml:space="preserve"> </w:t>
      </w:r>
      <w:r w:rsidR="006F4502" w:rsidRPr="006F4502">
        <w:rPr>
          <w:b/>
          <w:sz w:val="28"/>
          <w:szCs w:val="28"/>
        </w:rPr>
        <w:t>C85)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113"/>
        <w:gridCol w:w="5610"/>
      </w:tblGrid>
      <w:tr w:rsidR="006F4502" w:rsidRPr="007E3BCE" w14:paraId="66533B9F" w14:textId="77777777" w:rsidTr="00AE5EF0">
        <w:trPr>
          <w:trHeight w:val="567"/>
        </w:trPr>
        <w:tc>
          <w:tcPr>
            <w:tcW w:w="15388" w:type="dxa"/>
            <w:gridSpan w:val="3"/>
            <w:vAlign w:val="center"/>
          </w:tcPr>
          <w:p w14:paraId="66E7D13F" w14:textId="0D52CDBA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ZAKRES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ŚWIADCZENIA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6F4502" w:rsidRPr="007E3BCE" w14:paraId="429C62BD" w14:textId="77777777" w:rsidTr="00EB5DFC">
        <w:trPr>
          <w:trHeight w:val="567"/>
        </w:trPr>
        <w:tc>
          <w:tcPr>
            <w:tcW w:w="5665" w:type="dxa"/>
            <w:vAlign w:val="center"/>
          </w:tcPr>
          <w:p w14:paraId="22232585" w14:textId="77777777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4113" w:type="dxa"/>
            <w:vAlign w:val="center"/>
          </w:tcPr>
          <w:p w14:paraId="3963223A" w14:textId="5AA9C0F6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SCHEMAT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DAWKOWANIA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LEKÓW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B5DFC">
              <w:rPr>
                <w:b/>
                <w:bCs/>
                <w:sz w:val="20"/>
                <w:szCs w:val="20"/>
              </w:rPr>
              <w:br/>
            </w:r>
            <w:r w:rsidRPr="007E3BCE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5610" w:type="dxa"/>
            <w:vAlign w:val="center"/>
          </w:tcPr>
          <w:p w14:paraId="2B24ECC7" w14:textId="3D5C74CF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BADANIA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DIAGNOSTYCZNE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WYKONYWANE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B5DFC">
              <w:rPr>
                <w:b/>
                <w:bCs/>
                <w:sz w:val="20"/>
                <w:szCs w:val="20"/>
              </w:rPr>
              <w:br/>
            </w:r>
            <w:r w:rsidRPr="007E3BCE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RAMACH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7E3BCE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37436B" w:rsidRPr="007E3BCE" w14:paraId="74958493" w14:textId="77777777" w:rsidTr="00AE5EF0">
        <w:trPr>
          <w:trHeight w:val="567"/>
        </w:trPr>
        <w:tc>
          <w:tcPr>
            <w:tcW w:w="15388" w:type="dxa"/>
            <w:gridSpan w:val="3"/>
            <w:vAlign w:val="center"/>
          </w:tcPr>
          <w:p w14:paraId="10966461" w14:textId="7A491371" w:rsidR="0037436B" w:rsidRPr="0037436B" w:rsidRDefault="0037436B" w:rsidP="0007437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436B">
              <w:rPr>
                <w:b/>
                <w:bCs/>
                <w:sz w:val="20"/>
                <w:szCs w:val="20"/>
              </w:rPr>
              <w:t>LECZENIE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37436B">
              <w:rPr>
                <w:b/>
                <w:bCs/>
                <w:sz w:val="20"/>
                <w:szCs w:val="20"/>
              </w:rPr>
              <w:t>CHORYCH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37436B">
              <w:rPr>
                <w:b/>
                <w:bCs/>
                <w:sz w:val="20"/>
                <w:szCs w:val="20"/>
              </w:rPr>
              <w:t>NA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7C298F">
              <w:rPr>
                <w:b/>
                <w:bCs/>
                <w:sz w:val="20"/>
                <w:szCs w:val="20"/>
              </w:rPr>
              <w:t>CHŁONIAKA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7C298F">
              <w:rPr>
                <w:b/>
                <w:bCs/>
                <w:sz w:val="20"/>
                <w:szCs w:val="20"/>
              </w:rPr>
              <w:t>GRUDKOWEGO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7C298F">
              <w:rPr>
                <w:b/>
                <w:bCs/>
                <w:sz w:val="20"/>
                <w:szCs w:val="20"/>
              </w:rPr>
              <w:t>(ICD-10: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7C298F" w:rsidRPr="00291CC8">
              <w:rPr>
                <w:b/>
                <w:sz w:val="20"/>
                <w:szCs w:val="20"/>
              </w:rPr>
              <w:t>C82</w:t>
            </w:r>
            <w:r w:rsidR="009324D8">
              <w:rPr>
                <w:b/>
                <w:sz w:val="20"/>
                <w:szCs w:val="20"/>
              </w:rPr>
              <w:t>)</w:t>
            </w:r>
            <w:r w:rsidR="00C62C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436B" w:rsidRPr="007E3BCE" w14:paraId="0D3EA5A1" w14:textId="77777777" w:rsidTr="00EB5DFC">
        <w:trPr>
          <w:trHeight w:val="20"/>
        </w:trPr>
        <w:tc>
          <w:tcPr>
            <w:tcW w:w="5665" w:type="dxa"/>
            <w:vAlign w:val="center"/>
          </w:tcPr>
          <w:p w14:paraId="7377BC4C" w14:textId="73939E63" w:rsidR="00CB2BB1" w:rsidRPr="00C62CE7" w:rsidRDefault="00CB2BB1" w:rsidP="00C62CE7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2CE7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ramach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części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I.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programu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lekowego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niżej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wskazanych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liniach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chorym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chłoniaka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grudkowego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udostępnia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się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terapi</w:t>
            </w:r>
            <w:r w:rsidR="00100229" w:rsidRPr="00C62CE7">
              <w:rPr>
                <w:color w:val="000000"/>
                <w:sz w:val="20"/>
                <w:szCs w:val="20"/>
              </w:rPr>
              <w:t>e:</w:t>
            </w:r>
          </w:p>
          <w:p w14:paraId="537FB787" w14:textId="0136E7C7" w:rsidR="00CB2BB1" w:rsidRPr="00AE5EF0" w:rsidRDefault="00CB2BB1" w:rsidP="00AE5EF0">
            <w:pPr>
              <w:pStyle w:val="Akapitzlist"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linii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–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552F3D" w:rsidRPr="00AE5EF0">
              <w:rPr>
                <w:i/>
                <w:iCs/>
                <w:color w:val="000000"/>
                <w:sz w:val="20"/>
                <w:szCs w:val="20"/>
              </w:rPr>
              <w:t>obinutuzmabem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52F3D" w:rsidRPr="00AE5EF0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52F3D" w:rsidRPr="00AE5EF0">
              <w:rPr>
                <w:i/>
                <w:iCs/>
                <w:color w:val="000000"/>
                <w:sz w:val="20"/>
                <w:szCs w:val="20"/>
              </w:rPr>
              <w:t>skojarzeniu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52F3D" w:rsidRPr="00AE5EF0">
              <w:rPr>
                <w:i/>
                <w:iCs/>
                <w:color w:val="000000"/>
                <w:sz w:val="20"/>
                <w:szCs w:val="20"/>
              </w:rPr>
              <w:t>z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52F3D" w:rsidRPr="00AE5EF0">
              <w:rPr>
                <w:i/>
                <w:iCs/>
                <w:color w:val="000000"/>
                <w:sz w:val="20"/>
                <w:szCs w:val="20"/>
              </w:rPr>
              <w:t>chemioterapią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52F3D" w:rsidRPr="00AE5EF0">
              <w:rPr>
                <w:i/>
                <w:iCs/>
                <w:color w:val="000000"/>
                <w:sz w:val="20"/>
                <w:szCs w:val="20"/>
              </w:rPr>
              <w:t>(CHOP,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CVP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lub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bendamustyną)</w:t>
            </w:r>
            <w:r w:rsidRPr="00AE5EF0">
              <w:rPr>
                <w:color w:val="000000"/>
                <w:sz w:val="20"/>
                <w:szCs w:val="20"/>
              </w:rPr>
              <w:t>;</w:t>
            </w:r>
          </w:p>
          <w:p w14:paraId="65B0A310" w14:textId="5AE993CF" w:rsidR="00CB2BB1" w:rsidRPr="00AE5EF0" w:rsidRDefault="00CB2BB1" w:rsidP="00AE5EF0">
            <w:pPr>
              <w:pStyle w:val="Akapitzlist"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kolejnych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liniach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–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obinutuzmabem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skojarzeniu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z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162F" w:rsidRPr="00AE5EF0">
              <w:rPr>
                <w:i/>
                <w:iCs/>
                <w:color w:val="000000"/>
                <w:sz w:val="20"/>
                <w:szCs w:val="20"/>
              </w:rPr>
              <w:t>bendamustyną</w:t>
            </w:r>
          </w:p>
          <w:p w14:paraId="446C81AB" w14:textId="6BE14607" w:rsidR="00CB2BB1" w:rsidRPr="00C62CE7" w:rsidRDefault="00CB2BB1" w:rsidP="00C62C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C62CE7">
              <w:rPr>
                <w:sz w:val="20"/>
                <w:szCs w:val="20"/>
                <w:u w:val="single"/>
              </w:rPr>
              <w:t>zgodnie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ze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wskazanymi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w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opisie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programu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warunkami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i</w:t>
            </w:r>
            <w:r w:rsidR="00C62CE7">
              <w:rPr>
                <w:sz w:val="20"/>
                <w:szCs w:val="20"/>
                <w:u w:val="single"/>
              </w:rPr>
              <w:t xml:space="preserve"> </w:t>
            </w:r>
            <w:r w:rsidRPr="00C62CE7">
              <w:rPr>
                <w:sz w:val="20"/>
                <w:szCs w:val="20"/>
                <w:u w:val="single"/>
              </w:rPr>
              <w:t>kryteriami.</w:t>
            </w:r>
          </w:p>
          <w:p w14:paraId="0D615C83" w14:textId="6B26C569" w:rsidR="0095162F" w:rsidRPr="00AE5EF0" w:rsidRDefault="0095162F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  <w:u w:val="single"/>
              </w:rPr>
            </w:pPr>
          </w:p>
          <w:p w14:paraId="7A2DD7AA" w14:textId="6FD3219F" w:rsidR="0095162F" w:rsidRPr="00AE5EF0" w:rsidRDefault="0095162F" w:rsidP="00C62CE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4BB79748" w14:textId="350F0655" w:rsidR="0095162F" w:rsidRPr="00C62CE7" w:rsidRDefault="0095162F" w:rsidP="00C62C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2CE7">
              <w:rPr>
                <w:color w:val="000000"/>
                <w:sz w:val="20"/>
                <w:szCs w:val="20"/>
              </w:rPr>
              <w:t>Muszą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zostać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spełnione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łącznie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kryteria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ogólne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(1.1.)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oraz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kryteria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szczegółowe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(1.2.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695991" w:rsidRPr="00C62CE7">
              <w:rPr>
                <w:color w:val="000000"/>
                <w:sz w:val="20"/>
                <w:szCs w:val="20"/>
              </w:rPr>
              <w:t>albo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695991" w:rsidRPr="00C62CE7">
              <w:rPr>
                <w:color w:val="000000"/>
                <w:sz w:val="20"/>
                <w:szCs w:val="20"/>
              </w:rPr>
              <w:t>1.3.</w:t>
            </w:r>
            <w:r w:rsidRPr="00C62CE7">
              <w:rPr>
                <w:color w:val="000000"/>
                <w:sz w:val="20"/>
                <w:szCs w:val="20"/>
              </w:rPr>
              <w:t>)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dla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poszczególnych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terapii.</w:t>
            </w:r>
          </w:p>
          <w:p w14:paraId="5D338F2E" w14:textId="04322F8C" w:rsidR="0095162F" w:rsidRPr="00AE5EF0" w:rsidRDefault="0095162F" w:rsidP="00C62CE7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5EF0">
              <w:rPr>
                <w:b/>
                <w:bCs/>
                <w:color w:val="000000"/>
                <w:sz w:val="20"/>
                <w:szCs w:val="20"/>
              </w:rPr>
              <w:t>Ogólne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kryteria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kwalifikacji</w:t>
            </w:r>
          </w:p>
          <w:p w14:paraId="7878F68D" w14:textId="7EE507F9" w:rsidR="0095162F" w:rsidRPr="00AE5EF0" w:rsidRDefault="0095162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potwierdzona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histologicznie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diagnoza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chłoniaka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grudkowego;</w:t>
            </w:r>
          </w:p>
          <w:p w14:paraId="44E3F5BF" w14:textId="22180D1F" w:rsidR="00A32C23" w:rsidRPr="00AE5EF0" w:rsidRDefault="00A32C23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wiek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18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lat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powyżej;</w:t>
            </w:r>
          </w:p>
          <w:p w14:paraId="78577128" w14:textId="40A5BA9B" w:rsidR="00A32C23" w:rsidRPr="00AE5EF0" w:rsidRDefault="00A32C23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stan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sprawności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według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ECOG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0-2;</w:t>
            </w:r>
          </w:p>
          <w:p w14:paraId="750355B9" w14:textId="2A40E6F8" w:rsidR="0095162F" w:rsidRPr="00AE5EF0" w:rsidRDefault="0095162F" w:rsidP="00C62CE7">
            <w:pPr>
              <w:pStyle w:val="Akapitzlist"/>
              <w:numPr>
                <w:ilvl w:val="3"/>
                <w:numId w:val="3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brak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przeciwwskazań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aktualną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dzień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decyzji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Charakterystyką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Produktu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Leczniczego;</w:t>
            </w:r>
          </w:p>
          <w:p w14:paraId="4B4DA44C" w14:textId="06FDF047" w:rsidR="0095162F" w:rsidRPr="00AE5EF0" w:rsidRDefault="0095162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Cs/>
                <w:sz w:val="20"/>
                <w:szCs w:val="20"/>
              </w:rPr>
              <w:t>nieobecność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aktywnych,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ciężkich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zakażeń;</w:t>
            </w:r>
          </w:p>
          <w:p w14:paraId="7CA4DFAE" w14:textId="217AEF69" w:rsidR="0095162F" w:rsidRPr="00AE5EF0" w:rsidRDefault="0095162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nieobecność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istotnych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schorzeń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współistniejących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stanowiących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przeciwwskazanie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terapii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stwierdzonych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przez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lekarza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prowadzącego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oparciu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aktualną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dzień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wydania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decyzji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Charakterystykę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Produktu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Leczniczego;</w:t>
            </w:r>
          </w:p>
          <w:p w14:paraId="2AD3D5B3" w14:textId="29B99EBF" w:rsidR="008B546F" w:rsidRPr="00AE5EF0" w:rsidRDefault="0095162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adekwatna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wydolność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narządowa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określona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podstawie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wyników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badań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laboratoryjnych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krwi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umożliwiająca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opinii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lekarza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prowadzącego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bezpieczne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rozpoczęcie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terapii</w:t>
            </w:r>
            <w:r w:rsidR="008B546F" w:rsidRPr="00AE5EF0">
              <w:rPr>
                <w:color w:val="000000"/>
                <w:sz w:val="20"/>
                <w:szCs w:val="20"/>
              </w:rPr>
              <w:t>;</w:t>
            </w:r>
          </w:p>
          <w:p w14:paraId="1BBA0C5F" w14:textId="4FCC36A5" w:rsidR="008B546F" w:rsidRPr="00AE5EF0" w:rsidRDefault="008B546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brak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nadwrażliwości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którykolwiek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białka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mysie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którąkolwiek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substancję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pomocniczą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leku;</w:t>
            </w:r>
          </w:p>
          <w:p w14:paraId="4B7951E8" w14:textId="040E0EF1" w:rsidR="008B546F" w:rsidRPr="00AE5EF0" w:rsidRDefault="008B546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wykluczenie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okresu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karmienia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piersią;</w:t>
            </w:r>
          </w:p>
          <w:p w14:paraId="5C2621E0" w14:textId="392EC582" w:rsidR="0095162F" w:rsidRPr="00C62CE7" w:rsidRDefault="008B546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zgoda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stosowanie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skutecznych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metod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zapobiegania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trakcie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terapii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zakończeniu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informacjami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zawartymi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aktualnej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dzień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decyzji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Charakterystyce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Produktu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Leczniczego</w:t>
            </w:r>
            <w:r w:rsidR="009324D8" w:rsidRPr="00AE5EF0">
              <w:rPr>
                <w:sz w:val="20"/>
                <w:szCs w:val="20"/>
              </w:rPr>
              <w:t>.</w:t>
            </w:r>
          </w:p>
          <w:p w14:paraId="3DEE7E65" w14:textId="77777777" w:rsidR="0095162F" w:rsidRPr="00AE5EF0" w:rsidRDefault="0095162F" w:rsidP="00AE5EF0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173B160" w14:textId="663DAA29" w:rsidR="0095162F" w:rsidRPr="00AE5EF0" w:rsidRDefault="0095162F" w:rsidP="00C62CE7">
            <w:pPr>
              <w:pStyle w:val="Akapitzlist"/>
              <w:numPr>
                <w:ilvl w:val="1"/>
                <w:numId w:val="38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do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linii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1CC3430C" w14:textId="7FB50A21" w:rsidR="0095162F" w:rsidRPr="00AE5EF0" w:rsidRDefault="0095162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zaawansowany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chłoniak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grudkowy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stadium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i/>
                <w:iCs/>
                <w:sz w:val="20"/>
                <w:szCs w:val="20"/>
              </w:rPr>
              <w:t>bulky</w:t>
            </w:r>
            <w:r w:rsidRPr="00AE5EF0">
              <w:rPr>
                <w:sz w:val="20"/>
                <w:szCs w:val="20"/>
              </w:rPr>
              <w:t>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III,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Arbor;</w:t>
            </w:r>
          </w:p>
          <w:p w14:paraId="16D1F8B2" w14:textId="482FF0E3" w:rsidR="0095162F" w:rsidRPr="00AE5EF0" w:rsidRDefault="0095162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  <w:lang w:bidi="en-US"/>
              </w:rPr>
              <w:t>brak</w:t>
            </w:r>
            <w:r w:rsidR="00C62CE7">
              <w:rPr>
                <w:sz w:val="20"/>
                <w:szCs w:val="20"/>
                <w:lang w:bidi="en-US"/>
              </w:rPr>
              <w:t xml:space="preserve"> </w:t>
            </w:r>
            <w:r w:rsidRPr="00AE5EF0">
              <w:rPr>
                <w:sz w:val="20"/>
                <w:szCs w:val="20"/>
                <w:lang w:bidi="en-US"/>
              </w:rPr>
              <w:t>wcześniejszego</w:t>
            </w:r>
            <w:r w:rsidR="00C62CE7">
              <w:rPr>
                <w:sz w:val="20"/>
                <w:szCs w:val="20"/>
                <w:lang w:bidi="en-US"/>
              </w:rPr>
              <w:t xml:space="preserve"> </w:t>
            </w:r>
            <w:r w:rsidRPr="00AE5EF0">
              <w:rPr>
                <w:sz w:val="20"/>
                <w:szCs w:val="20"/>
                <w:lang w:bidi="en-US"/>
              </w:rPr>
              <w:t>leczenia</w:t>
            </w:r>
            <w:r w:rsidR="00C62CE7">
              <w:rPr>
                <w:sz w:val="20"/>
                <w:szCs w:val="20"/>
                <w:lang w:bidi="en-US"/>
              </w:rPr>
              <w:t xml:space="preserve"> </w:t>
            </w:r>
            <w:r w:rsidR="009933E8" w:rsidRPr="00AE5EF0">
              <w:rPr>
                <w:sz w:val="20"/>
                <w:szCs w:val="20"/>
              </w:rPr>
              <w:t>chłoniaka</w:t>
            </w:r>
            <w:r w:rsidR="00C62CE7">
              <w:rPr>
                <w:sz w:val="20"/>
                <w:szCs w:val="20"/>
              </w:rPr>
              <w:t xml:space="preserve"> </w:t>
            </w:r>
            <w:r w:rsidR="009933E8" w:rsidRPr="00AE5EF0">
              <w:rPr>
                <w:sz w:val="20"/>
                <w:szCs w:val="20"/>
              </w:rPr>
              <w:t>grudkowego</w:t>
            </w:r>
            <w:r w:rsidR="00D3533B" w:rsidRPr="00AE5EF0">
              <w:rPr>
                <w:sz w:val="20"/>
                <w:szCs w:val="20"/>
              </w:rPr>
              <w:t>.</w:t>
            </w:r>
          </w:p>
          <w:p w14:paraId="103E954A" w14:textId="77777777" w:rsidR="0095162F" w:rsidRPr="00AE5EF0" w:rsidRDefault="0095162F" w:rsidP="00AE5EF0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BF1FC71" w14:textId="3629EC1D" w:rsidR="0095162F" w:rsidRPr="00AE5EF0" w:rsidRDefault="0095162F" w:rsidP="00C62CE7">
            <w:pPr>
              <w:pStyle w:val="Akapitzlist"/>
              <w:numPr>
                <w:ilvl w:val="1"/>
                <w:numId w:val="38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do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II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kolejnych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linii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2DE3932E" w14:textId="2C3C78D7" w:rsidR="0095162F" w:rsidRPr="00AE5EF0" w:rsidRDefault="0095162F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stosowan</w:t>
            </w:r>
            <w:r w:rsidR="00C62CE7">
              <w:rPr>
                <w:color w:val="000000"/>
                <w:sz w:val="20"/>
                <w:szCs w:val="20"/>
              </w:rPr>
              <w:t xml:space="preserve">a </w:t>
            </w:r>
            <w:r w:rsidRPr="00AE5EF0">
              <w:rPr>
                <w:color w:val="000000"/>
                <w:sz w:val="20"/>
                <w:szCs w:val="20"/>
              </w:rPr>
              <w:t>uprzednio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co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najmniej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jedną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linię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695991" w:rsidRPr="00AE5EF0">
              <w:rPr>
                <w:color w:val="000000"/>
                <w:sz w:val="20"/>
                <w:szCs w:val="20"/>
              </w:rPr>
              <w:t>chłoniaka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695991" w:rsidRPr="00AE5EF0">
              <w:rPr>
                <w:color w:val="000000"/>
                <w:sz w:val="20"/>
                <w:szCs w:val="20"/>
              </w:rPr>
              <w:t>grudkowego</w:t>
            </w:r>
            <w:r w:rsidR="009933E8" w:rsidRPr="00AE5EF0">
              <w:rPr>
                <w:color w:val="000000"/>
                <w:sz w:val="20"/>
                <w:szCs w:val="20"/>
              </w:rPr>
              <w:t>;</w:t>
            </w:r>
          </w:p>
          <w:p w14:paraId="250835FC" w14:textId="4F5935B0" w:rsidR="009933E8" w:rsidRPr="00AE5EF0" w:rsidRDefault="009933E8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brak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odpowiedzi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progresja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podczas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maksymalnie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6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miesięcy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zakończeniu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rytuksymabem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schematem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zawierającym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rytuksymab.</w:t>
            </w:r>
          </w:p>
          <w:p w14:paraId="3E5A4697" w14:textId="22DB7982" w:rsidR="00C641D8" w:rsidRPr="00C62CE7" w:rsidRDefault="00695991" w:rsidP="00C62CE7">
            <w:pPr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2CE7">
              <w:rPr>
                <w:color w:val="000000"/>
                <w:sz w:val="20"/>
                <w:szCs w:val="20"/>
              </w:rPr>
              <w:t>Oba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kryteria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(1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i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2)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muszą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być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spełnione</w:t>
            </w:r>
            <w:r w:rsidR="00C62CE7" w:rsidRPr="00C62CE7">
              <w:rPr>
                <w:color w:val="000000"/>
                <w:sz w:val="20"/>
                <w:szCs w:val="20"/>
              </w:rPr>
              <w:t xml:space="preserve"> </w:t>
            </w:r>
            <w:r w:rsidRPr="00C62CE7">
              <w:rPr>
                <w:color w:val="000000"/>
                <w:sz w:val="20"/>
                <w:szCs w:val="20"/>
              </w:rPr>
              <w:t>łącznie</w:t>
            </w:r>
            <w:r w:rsidR="00D3533B" w:rsidRPr="00C62CE7">
              <w:rPr>
                <w:color w:val="000000"/>
                <w:sz w:val="20"/>
                <w:szCs w:val="20"/>
              </w:rPr>
              <w:t>.</w:t>
            </w:r>
          </w:p>
          <w:p w14:paraId="0B11C044" w14:textId="77777777" w:rsidR="00D3533B" w:rsidRPr="00AE5EF0" w:rsidRDefault="00D3533B" w:rsidP="00AE5EF0">
            <w:pPr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143098A" w14:textId="522E5186" w:rsidR="00C641D8" w:rsidRPr="00AE5EF0" w:rsidRDefault="00C641D8" w:rsidP="00C62CE7">
            <w:pPr>
              <w:pStyle w:val="Akapitzlist"/>
              <w:numPr>
                <w:ilvl w:val="0"/>
                <w:numId w:val="38"/>
              </w:numPr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Określenie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czasu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programie</w:t>
            </w:r>
          </w:p>
          <w:p w14:paraId="6CFF4DA5" w14:textId="3C942132" w:rsidR="00C641D8" w:rsidRPr="00C62CE7" w:rsidRDefault="00C641D8" w:rsidP="00C62CE7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C62CE7">
              <w:rPr>
                <w:sz w:val="20"/>
                <w:szCs w:val="20"/>
              </w:rPr>
              <w:t>Leczenie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trwa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do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czasu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podjęcia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przez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lekarza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prowadzącego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decyzji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o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wyłączeniu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świadczeniobiorcy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z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programu,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zgodnie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z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kryteriami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wyłączenia,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jednak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z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zastrzeżeniem,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iż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w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przypadku</w:t>
            </w:r>
            <w:r w:rsidR="00C62CE7" w:rsidRPr="00C62CE7">
              <w:rPr>
                <w:sz w:val="20"/>
                <w:szCs w:val="20"/>
              </w:rPr>
              <w:t xml:space="preserve"> </w:t>
            </w:r>
            <w:r w:rsidRPr="00C62CE7">
              <w:rPr>
                <w:sz w:val="20"/>
                <w:szCs w:val="20"/>
              </w:rPr>
              <w:t>terapii:</w:t>
            </w:r>
          </w:p>
          <w:p w14:paraId="29E7F708" w14:textId="76B19EB7" w:rsidR="00C641D8" w:rsidRPr="00AE5EF0" w:rsidRDefault="00A32C23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obinutuzumabem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skojarzeniu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z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chemioterapią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(CHOP,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CVP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lub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bendamustyną)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linii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–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maksymalny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czas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indukującego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wynosi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6-8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cykli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(w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zależności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od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zastosowanej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chemioterapii),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maksymalny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czas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podtrzymującego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wynosi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2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lata;</w:t>
            </w:r>
          </w:p>
          <w:p w14:paraId="49703359" w14:textId="19C1AEE8" w:rsidR="0095162F" w:rsidRPr="00AE5EF0" w:rsidRDefault="00A32C23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obinutuzumabem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skojarzeniu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z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bendamustyną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lub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kolejnych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liniach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–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maksymalny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czas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indukującego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wynosi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6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cykli,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maksymalny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czas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podtrzymującego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wynosi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2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C641D8" w:rsidRPr="00AE5EF0">
              <w:rPr>
                <w:color w:val="000000"/>
                <w:sz w:val="20"/>
                <w:szCs w:val="20"/>
              </w:rPr>
              <w:t>lata.</w:t>
            </w:r>
          </w:p>
          <w:p w14:paraId="5A86984F" w14:textId="77777777" w:rsidR="00C641D8" w:rsidRPr="00AE5EF0" w:rsidRDefault="00C641D8" w:rsidP="00AE5EF0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788DE324" w14:textId="006B5175" w:rsidR="00C641D8" w:rsidRPr="00AE5EF0" w:rsidRDefault="00C641D8" w:rsidP="00C62CE7">
            <w:pPr>
              <w:pStyle w:val="Akapitzlist"/>
              <w:numPr>
                <w:ilvl w:val="0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wyłączenia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programu</w:t>
            </w:r>
          </w:p>
          <w:p w14:paraId="5F6CADAA" w14:textId="2D263CA7" w:rsidR="00C641D8" w:rsidRPr="00AE5EF0" w:rsidRDefault="007A452A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progresja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trakcie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oceniana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podaniu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2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cykli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leczenia;</w:t>
            </w:r>
          </w:p>
          <w:p w14:paraId="674F3B6E" w14:textId="2728D4B3" w:rsidR="00C641D8" w:rsidRPr="00AE5EF0" w:rsidRDefault="00C641D8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wystąpienie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objawów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nadwrażliwości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którykolwiek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stosowanych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którąkolwiek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substancję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pomocniczą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leku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białka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mysie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(reakcje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związane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wlewem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4.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stopnia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wg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CTCAE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powtórne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wystąpienie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reakcji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związanych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wlewem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stopnia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3.)</w:t>
            </w:r>
            <w:r w:rsidRPr="00AE5EF0">
              <w:rPr>
                <w:sz w:val="20"/>
                <w:szCs w:val="20"/>
              </w:rPr>
              <w:t>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65A7E1A5" w14:textId="3C557436" w:rsidR="00C641D8" w:rsidRPr="00AE5EF0" w:rsidRDefault="00C641D8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ciąża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karmienie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piersią;</w:t>
            </w:r>
          </w:p>
          <w:p w14:paraId="74886C5A" w14:textId="64E14F86" w:rsidR="00C641D8" w:rsidRPr="00AE5EF0" w:rsidRDefault="00C641D8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pogorszenie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stanu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istotnym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znaczeniu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według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lekarza;</w:t>
            </w:r>
          </w:p>
          <w:p w14:paraId="2681611D" w14:textId="472A218F" w:rsidR="007A452A" w:rsidRPr="00AE5EF0" w:rsidRDefault="007A452A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rozpoznanie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postępującej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wieloogniskowej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leukoencefalopatii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(PML);</w:t>
            </w:r>
          </w:p>
          <w:p w14:paraId="30B1AABD" w14:textId="2840580C" w:rsidR="00C641D8" w:rsidRPr="00AE5EF0" w:rsidRDefault="00C641D8" w:rsidP="00C62CE7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Cs/>
                <w:sz w:val="20"/>
                <w:szCs w:val="20"/>
              </w:rPr>
              <w:t>rezygnacja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pacjenta.</w:t>
            </w:r>
          </w:p>
          <w:p w14:paraId="510D57A3" w14:textId="19A3D6EB" w:rsidR="00C641D8" w:rsidRPr="00AE5EF0" w:rsidRDefault="00C641D8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</w:tcPr>
          <w:p w14:paraId="4C011F2F" w14:textId="5AEA715A" w:rsidR="0037436B" w:rsidRPr="00AE5EF0" w:rsidRDefault="008B5A52" w:rsidP="00C62CE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Dawkowanie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leków</w:t>
            </w:r>
          </w:p>
          <w:p w14:paraId="2906931D" w14:textId="043872D5" w:rsidR="008B5A52" w:rsidRPr="00AE5EF0" w:rsidRDefault="008B5A52" w:rsidP="00C62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color w:val="000000"/>
                <w:sz w:val="20"/>
                <w:szCs w:val="20"/>
              </w:rPr>
              <w:t>obinutuz</w:t>
            </w:r>
            <w:r w:rsidR="00571044" w:rsidRPr="00AE5EF0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mab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skojarzeniu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chemioterapią</w:t>
            </w:r>
            <w:r w:rsidR="00C62C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CHOP,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CVP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lub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bendamustyną)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4245D2" w:rsidRPr="00AE5EF0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4245D2" w:rsidRPr="00AE5EF0">
              <w:rPr>
                <w:b/>
                <w:bCs/>
                <w:sz w:val="20"/>
                <w:szCs w:val="20"/>
              </w:rPr>
              <w:t>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4245D2" w:rsidRPr="00AE5EF0">
              <w:rPr>
                <w:b/>
                <w:bCs/>
                <w:sz w:val="20"/>
                <w:szCs w:val="20"/>
              </w:rPr>
              <w:t>linii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4245D2"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5518E4EF" w14:textId="7F5A0019" w:rsidR="008B5A52" w:rsidRPr="00AE5EF0" w:rsidRDefault="008B5A52" w:rsidP="00C62CE7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Leczenie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induk</w:t>
            </w:r>
            <w:r w:rsidR="00837A28" w:rsidRPr="00AE5EF0">
              <w:rPr>
                <w:sz w:val="20"/>
                <w:szCs w:val="20"/>
              </w:rPr>
              <w:t>ujące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obinutuzumab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skojarzeniu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chemioterapią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(CHOP,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CVP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bendamustyną)</w:t>
            </w:r>
          </w:p>
          <w:p w14:paraId="460ECAA5" w14:textId="5C95C015" w:rsidR="008B5A52" w:rsidRPr="00BB6CD8" w:rsidRDefault="008B5A52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  <w:u w:val="single"/>
              </w:rPr>
              <w:t>Obinutuz</w:t>
            </w:r>
            <w:r w:rsidR="00571044" w:rsidRPr="00BB6CD8">
              <w:rPr>
                <w:sz w:val="20"/>
                <w:szCs w:val="20"/>
                <w:u w:val="single"/>
              </w:rPr>
              <w:t>u</w:t>
            </w:r>
            <w:r w:rsidRPr="00BB6CD8">
              <w:rPr>
                <w:sz w:val="20"/>
                <w:szCs w:val="20"/>
                <w:u w:val="single"/>
              </w:rPr>
              <w:t>mab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="000F4B79" w:rsidRPr="00BB6CD8">
              <w:rPr>
                <w:sz w:val="20"/>
                <w:szCs w:val="20"/>
                <w:u w:val="single"/>
              </w:rPr>
              <w:t>w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="000F4B79" w:rsidRPr="00BB6CD8">
              <w:rPr>
                <w:sz w:val="20"/>
                <w:szCs w:val="20"/>
                <w:u w:val="single"/>
              </w:rPr>
              <w:t>cyklu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="000F4B79" w:rsidRPr="00BB6CD8">
              <w:rPr>
                <w:sz w:val="20"/>
                <w:szCs w:val="20"/>
                <w:u w:val="single"/>
              </w:rPr>
              <w:t>1.</w:t>
            </w:r>
            <w:r w:rsidR="00B51F49" w:rsidRPr="00BB6CD8">
              <w:rPr>
                <w:sz w:val="20"/>
                <w:szCs w:val="20"/>
              </w:rPr>
              <w:t>: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dawce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1000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podawany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E7666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E7666" w:rsidRPr="00BB6CD8">
              <w:rPr>
                <w:sz w:val="20"/>
                <w:szCs w:val="20"/>
              </w:rPr>
              <w:t>skojarzeniu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E7666" w:rsidRPr="00BB6CD8">
              <w:rPr>
                <w:sz w:val="20"/>
                <w:szCs w:val="20"/>
              </w:rPr>
              <w:t>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E7666" w:rsidRPr="00BB6CD8">
              <w:rPr>
                <w:sz w:val="20"/>
                <w:szCs w:val="20"/>
              </w:rPr>
              <w:t>chemioterapią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1.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(dopuszcza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się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rozdzielenie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dawki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100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1.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900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2.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dniu),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8.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15.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pierwszego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cyklu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51F49" w:rsidRPr="00BB6CD8">
              <w:rPr>
                <w:sz w:val="20"/>
                <w:szCs w:val="20"/>
              </w:rPr>
              <w:t>leczenia.</w:t>
            </w:r>
          </w:p>
          <w:p w14:paraId="57D5F823" w14:textId="00C7B6D6" w:rsidR="006D6CAE" w:rsidRPr="00BB6CD8" w:rsidRDefault="000F4B79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  <w:u w:val="single"/>
              </w:rPr>
              <w:t>Obinutuz</w:t>
            </w:r>
            <w:r w:rsidR="00571044" w:rsidRPr="00BB6CD8">
              <w:rPr>
                <w:sz w:val="20"/>
                <w:szCs w:val="20"/>
                <w:u w:val="single"/>
              </w:rPr>
              <w:t>u</w:t>
            </w:r>
            <w:r w:rsidRPr="00BB6CD8">
              <w:rPr>
                <w:sz w:val="20"/>
                <w:szCs w:val="20"/>
                <w:u w:val="single"/>
              </w:rPr>
              <w:t>mab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w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cyklach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2-6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lub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2-8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(liczba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cykli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oraz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ich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długość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zależna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od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zastosowanego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schematu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chemioterapii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zgodnie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z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aktualną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na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dzień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wydania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decyzji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Charakterystyką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Produktu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Pr="00BB6CD8">
              <w:rPr>
                <w:i/>
                <w:iCs/>
                <w:sz w:val="20"/>
                <w:szCs w:val="20"/>
              </w:rPr>
              <w:t>Leczniczego)</w:t>
            </w:r>
            <w:r w:rsidR="006D6CAE" w:rsidRPr="00BB6CD8">
              <w:rPr>
                <w:i/>
                <w:iCs/>
                <w:sz w:val="20"/>
                <w:szCs w:val="20"/>
              </w:rPr>
              <w:t>:</w:t>
            </w:r>
            <w:r w:rsidR="00C62CE7" w:rsidRPr="00BB6CD8">
              <w:rPr>
                <w:i/>
                <w:iCs/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dawce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1000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skojarzeniu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chemioterapią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podaje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się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1.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każdego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cyklu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6D6CAE" w:rsidRPr="00BB6CD8">
              <w:rPr>
                <w:sz w:val="20"/>
                <w:szCs w:val="20"/>
              </w:rPr>
              <w:t>leczenia.</w:t>
            </w:r>
            <w:r w:rsidR="00C62CE7" w:rsidRPr="00BB6CD8">
              <w:rPr>
                <w:sz w:val="20"/>
                <w:szCs w:val="20"/>
              </w:rPr>
              <w:t xml:space="preserve"> </w:t>
            </w:r>
          </w:p>
          <w:p w14:paraId="1199272B" w14:textId="3562B9BB" w:rsidR="00E21537" w:rsidRPr="00AE5EF0" w:rsidRDefault="00E21537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43D57CE" w14:textId="4D8E0E78" w:rsidR="00BE7666" w:rsidRPr="00BB6CD8" w:rsidRDefault="00FF1506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BB6CD8">
              <w:rPr>
                <w:sz w:val="20"/>
                <w:szCs w:val="20"/>
                <w:u w:val="single"/>
              </w:rPr>
              <w:t>Chemioterapia</w:t>
            </w:r>
            <w:r w:rsidR="00BE7666" w:rsidRPr="00BB6CD8">
              <w:rPr>
                <w:sz w:val="20"/>
                <w:szCs w:val="20"/>
                <w:u w:val="single"/>
              </w:rPr>
              <w:t>:</w:t>
            </w:r>
          </w:p>
          <w:p w14:paraId="5A96D23A" w14:textId="77777777" w:rsidR="004111CC" w:rsidRDefault="00BE7666" w:rsidP="00BB6CD8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  <w:u w:val="single"/>
              </w:rPr>
              <w:t>CHOP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standardowym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dawkowaniem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dla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tego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schematu</w:t>
            </w:r>
          </w:p>
          <w:p w14:paraId="43B2C113" w14:textId="20D9B238" w:rsidR="00FF1506" w:rsidRPr="00AE5EF0" w:rsidRDefault="00191E0E" w:rsidP="004111C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albo</w:t>
            </w:r>
          </w:p>
          <w:p w14:paraId="11D20FEA" w14:textId="77777777" w:rsidR="004111CC" w:rsidRDefault="00BE7666" w:rsidP="00BB6CD8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  <w:u w:val="single"/>
              </w:rPr>
              <w:t>CVP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zgodne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ze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standardowym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dawkowaniem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dla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tego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schematu</w:t>
            </w:r>
          </w:p>
          <w:p w14:paraId="2745938D" w14:textId="21714789" w:rsidR="00191E0E" w:rsidRPr="00AE5EF0" w:rsidRDefault="00191E0E" w:rsidP="004111C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albo</w:t>
            </w:r>
          </w:p>
          <w:p w14:paraId="5BA6978C" w14:textId="1B900519" w:rsidR="00BE7666" w:rsidRPr="00AE5EF0" w:rsidRDefault="00BE7666" w:rsidP="00BB6CD8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  <w:u w:val="single"/>
              </w:rPr>
              <w:t>Bendamustyna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dawce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90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mg/m</w:t>
            </w:r>
            <w:r w:rsidR="00191E0E" w:rsidRPr="00AE5EF0">
              <w:rPr>
                <w:sz w:val="20"/>
                <w:szCs w:val="20"/>
                <w:vertAlign w:val="superscript"/>
              </w:rPr>
              <w:t>2</w:t>
            </w:r>
            <w:r w:rsidR="00C62CE7">
              <w:rPr>
                <w:sz w:val="20"/>
                <w:szCs w:val="20"/>
                <w:vertAlign w:val="superscript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pc.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podawana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dożylnie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1.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2.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dniu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każdego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cyklu</w:t>
            </w:r>
            <w:r w:rsidR="00C62CE7">
              <w:rPr>
                <w:sz w:val="20"/>
                <w:szCs w:val="20"/>
              </w:rPr>
              <w:t xml:space="preserve"> </w:t>
            </w:r>
            <w:r w:rsidR="00191E0E"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49CE3641" w14:textId="75E87EA3" w:rsidR="000F4B79" w:rsidRPr="00BB6CD8" w:rsidRDefault="006D6CAE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</w:rPr>
              <w:t>Leczenie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induk</w:t>
            </w:r>
            <w:r w:rsidR="00837A28" w:rsidRPr="00BB6CD8">
              <w:rPr>
                <w:sz w:val="20"/>
                <w:szCs w:val="20"/>
              </w:rPr>
              <w:t>ujące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obejmuje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więcej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niż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6-</w:t>
            </w:r>
            <w:r w:rsidRPr="00BB6CD8">
              <w:rPr>
                <w:sz w:val="20"/>
                <w:szCs w:val="20"/>
              </w:rPr>
              <w:t>8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cykli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przypadku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połączenia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chemioterapią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CHOP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lub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CVP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więcej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niż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6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B45D1D" w:rsidRPr="00BB6CD8">
              <w:rPr>
                <w:sz w:val="20"/>
                <w:szCs w:val="20"/>
              </w:rPr>
              <w:t>cykli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przypadku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połączenia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837A28" w:rsidRPr="00BB6CD8">
              <w:rPr>
                <w:sz w:val="20"/>
                <w:szCs w:val="20"/>
              </w:rPr>
              <w:t>bendamustyną.</w:t>
            </w:r>
          </w:p>
          <w:p w14:paraId="1F021D94" w14:textId="77777777" w:rsidR="000F4B79" w:rsidRPr="00AE5EF0" w:rsidRDefault="000F4B79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9E4EBA9" w14:textId="6FE960AC" w:rsidR="000F4B79" w:rsidRPr="00AE5EF0" w:rsidRDefault="006D6CAE" w:rsidP="00C62CE7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Leczenie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podtrzymujące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obinutuz</w:t>
            </w:r>
            <w:r w:rsidR="00571044" w:rsidRPr="00AE5EF0">
              <w:rPr>
                <w:sz w:val="20"/>
                <w:szCs w:val="20"/>
              </w:rPr>
              <w:t>u</w:t>
            </w:r>
            <w:r w:rsidR="00E21537" w:rsidRPr="00AE5EF0">
              <w:rPr>
                <w:sz w:val="20"/>
                <w:szCs w:val="20"/>
              </w:rPr>
              <w:t>mab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E21537" w:rsidRPr="00AE5EF0">
              <w:rPr>
                <w:sz w:val="20"/>
                <w:szCs w:val="20"/>
              </w:rPr>
              <w:t>monoterapii</w:t>
            </w:r>
          </w:p>
          <w:p w14:paraId="3E05A6C8" w14:textId="4349F77E" w:rsidR="006D6CAE" w:rsidRPr="00BB6CD8" w:rsidRDefault="006D6CAE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  <w:u w:val="single"/>
              </w:rPr>
              <w:t>Obinutuzumab</w:t>
            </w:r>
            <w:r w:rsidR="00E21537" w:rsidRPr="00BB6CD8">
              <w:rPr>
                <w:sz w:val="20"/>
                <w:szCs w:val="20"/>
                <w:u w:val="single"/>
              </w:rPr>
              <w:t>:</w:t>
            </w:r>
            <w:r w:rsidR="00C62CE7" w:rsidRPr="00BB6CD8">
              <w:rPr>
                <w:b/>
                <w:bCs/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daw</w:t>
            </w:r>
            <w:r w:rsidR="00E21537" w:rsidRPr="00BB6CD8">
              <w:rPr>
                <w:sz w:val="20"/>
                <w:szCs w:val="20"/>
              </w:rPr>
              <w:t>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1000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podawany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raz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2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miesiące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przez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dwa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lata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lub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wystąpienia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progresji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choroby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trakcie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leczenia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podtrzymującego.</w:t>
            </w:r>
          </w:p>
          <w:p w14:paraId="0E054C3C" w14:textId="77777777" w:rsidR="00E21537" w:rsidRPr="00AE5EF0" w:rsidRDefault="00E21537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C4A422E" w14:textId="3DFA7091" w:rsidR="00E21537" w:rsidRPr="00AE5EF0" w:rsidRDefault="00A32C23" w:rsidP="00C62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color w:val="000000"/>
                <w:sz w:val="20"/>
                <w:szCs w:val="20"/>
              </w:rPr>
              <w:t>obinutuz</w:t>
            </w:r>
            <w:r w:rsidR="00571044" w:rsidRPr="00AE5EF0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mab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skojarzeniu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color w:val="000000"/>
                <w:sz w:val="20"/>
                <w:szCs w:val="20"/>
              </w:rPr>
              <w:t>bendamustyną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21537" w:rsidRPr="00AE5EF0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21537" w:rsidRPr="00AE5EF0">
              <w:rPr>
                <w:b/>
                <w:bCs/>
                <w:sz w:val="20"/>
                <w:szCs w:val="20"/>
              </w:rPr>
              <w:t>II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21537" w:rsidRPr="00AE5EF0">
              <w:rPr>
                <w:b/>
                <w:bCs/>
                <w:sz w:val="20"/>
                <w:szCs w:val="20"/>
              </w:rPr>
              <w:t>lub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21537" w:rsidRPr="00AE5EF0">
              <w:rPr>
                <w:b/>
                <w:bCs/>
                <w:sz w:val="20"/>
                <w:szCs w:val="20"/>
              </w:rPr>
              <w:t>kolejnych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21537" w:rsidRPr="00AE5EF0">
              <w:rPr>
                <w:b/>
                <w:bCs/>
                <w:sz w:val="20"/>
                <w:szCs w:val="20"/>
              </w:rPr>
              <w:t>liniach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21537" w:rsidRPr="00AE5EF0">
              <w:rPr>
                <w:b/>
                <w:bCs/>
                <w:sz w:val="20"/>
                <w:szCs w:val="20"/>
              </w:rPr>
              <w:t>leczenia</w:t>
            </w:r>
            <w:r w:rsidR="00C62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BBCAF2C" w14:textId="14E172AD" w:rsidR="00E21537" w:rsidRPr="00AE5EF0" w:rsidRDefault="00E21537" w:rsidP="00C62CE7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Leczenie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induk</w:t>
            </w:r>
            <w:r w:rsidR="00571044" w:rsidRPr="00AE5EF0">
              <w:rPr>
                <w:sz w:val="20"/>
                <w:szCs w:val="20"/>
              </w:rPr>
              <w:t>ujące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obinutuzumab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skojarzeniu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bendamustyną</w:t>
            </w:r>
          </w:p>
          <w:p w14:paraId="6164E004" w14:textId="35D6E4F5" w:rsidR="00E21537" w:rsidRPr="00BB6CD8" w:rsidRDefault="00E21537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  <w:u w:val="single"/>
              </w:rPr>
              <w:t>Obinutuz</w:t>
            </w:r>
            <w:r w:rsidR="006125EF" w:rsidRPr="00BB6CD8">
              <w:rPr>
                <w:sz w:val="20"/>
                <w:szCs w:val="20"/>
                <w:u w:val="single"/>
              </w:rPr>
              <w:t>u</w:t>
            </w:r>
            <w:r w:rsidRPr="00BB6CD8">
              <w:rPr>
                <w:sz w:val="20"/>
                <w:szCs w:val="20"/>
                <w:u w:val="single"/>
              </w:rPr>
              <w:t>mab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w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cyklu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1.</w:t>
            </w:r>
            <w:r w:rsidRPr="00BB6CD8">
              <w:rPr>
                <w:sz w:val="20"/>
                <w:szCs w:val="20"/>
              </w:rPr>
              <w:t>: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dawce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1000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podawany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(dopuszcza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się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rozdzielenie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dawki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900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2.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dniu),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8.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15.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pierwszego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28-dniowego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cyklu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leczenia.</w:t>
            </w:r>
          </w:p>
          <w:p w14:paraId="007E0BF7" w14:textId="1F5FE688" w:rsidR="00E21537" w:rsidRPr="00BB6CD8" w:rsidRDefault="00E21537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  <w:u w:val="single"/>
              </w:rPr>
              <w:t>Obinutuz</w:t>
            </w:r>
            <w:r w:rsidR="006125EF" w:rsidRPr="00BB6CD8">
              <w:rPr>
                <w:sz w:val="20"/>
                <w:szCs w:val="20"/>
                <w:u w:val="single"/>
              </w:rPr>
              <w:t>u</w:t>
            </w:r>
            <w:r w:rsidRPr="00BB6CD8">
              <w:rPr>
                <w:sz w:val="20"/>
                <w:szCs w:val="20"/>
                <w:u w:val="single"/>
              </w:rPr>
              <w:t>mab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w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cyklach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2-6: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dawce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1000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skojarzeniu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bendamustyną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podaje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się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każdego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28-dniowego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cyklu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leczenia.</w:t>
            </w:r>
            <w:r w:rsidR="00C62CE7" w:rsidRPr="00BB6CD8">
              <w:rPr>
                <w:sz w:val="20"/>
                <w:szCs w:val="20"/>
              </w:rPr>
              <w:t xml:space="preserve"> </w:t>
            </w:r>
          </w:p>
          <w:p w14:paraId="01C5F38E" w14:textId="7A4CD1FF" w:rsidR="00E21537" w:rsidRPr="00BB6CD8" w:rsidRDefault="00E21537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  <w:u w:val="single"/>
              </w:rPr>
              <w:t>Bendamustyna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w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cyklach</w:t>
            </w:r>
            <w:r w:rsidR="00C62CE7" w:rsidRPr="00BB6CD8">
              <w:rPr>
                <w:sz w:val="20"/>
                <w:szCs w:val="20"/>
                <w:u w:val="single"/>
              </w:rPr>
              <w:t xml:space="preserve"> </w:t>
            </w:r>
            <w:r w:rsidRPr="00BB6CD8">
              <w:rPr>
                <w:sz w:val="20"/>
                <w:szCs w:val="20"/>
                <w:u w:val="single"/>
              </w:rPr>
              <w:t>1-6: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dawce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90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mg/m</w:t>
            </w:r>
            <w:r w:rsidRPr="00BB6CD8">
              <w:rPr>
                <w:sz w:val="20"/>
                <w:szCs w:val="20"/>
                <w:vertAlign w:val="superscript"/>
              </w:rPr>
              <w:t>2</w:t>
            </w:r>
            <w:r w:rsidR="00C62CE7" w:rsidRPr="00BB6CD8">
              <w:rPr>
                <w:sz w:val="20"/>
                <w:szCs w:val="20"/>
                <w:vertAlign w:val="superscript"/>
              </w:rPr>
              <w:t xml:space="preserve"> </w:t>
            </w:r>
            <w:r w:rsidR="00921307" w:rsidRPr="00BB6CD8">
              <w:rPr>
                <w:sz w:val="20"/>
                <w:szCs w:val="20"/>
              </w:rPr>
              <w:t>p</w:t>
            </w:r>
            <w:r w:rsidR="00191E0E" w:rsidRPr="00BB6CD8">
              <w:rPr>
                <w:sz w:val="20"/>
                <w:szCs w:val="20"/>
              </w:rPr>
              <w:t>c.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191E0E" w:rsidRPr="00BB6CD8">
              <w:rPr>
                <w:sz w:val="20"/>
                <w:szCs w:val="20"/>
              </w:rPr>
              <w:t>p</w:t>
            </w:r>
            <w:r w:rsidR="00921307" w:rsidRPr="00BB6CD8">
              <w:rPr>
                <w:sz w:val="20"/>
                <w:szCs w:val="20"/>
              </w:rPr>
              <w:t>odawana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dożylnie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2.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dniu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każdego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cyklu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="00921307" w:rsidRPr="00BB6CD8">
              <w:rPr>
                <w:sz w:val="20"/>
                <w:szCs w:val="20"/>
              </w:rPr>
              <w:t>leczenia.</w:t>
            </w:r>
          </w:p>
          <w:p w14:paraId="221D38C6" w14:textId="77777777" w:rsidR="00E21537" w:rsidRPr="00AE5EF0" w:rsidRDefault="00E21537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5617C186" w14:textId="04C8D1E3" w:rsidR="00E21537" w:rsidRPr="00AE5EF0" w:rsidRDefault="00E21537" w:rsidP="00C62CE7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Leczenie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podtrzymujące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obinutuz</w:t>
            </w:r>
            <w:r w:rsidR="006125EF" w:rsidRPr="00AE5EF0">
              <w:rPr>
                <w:sz w:val="20"/>
                <w:szCs w:val="20"/>
              </w:rPr>
              <w:t>u</w:t>
            </w:r>
            <w:r w:rsidRPr="00AE5EF0">
              <w:rPr>
                <w:sz w:val="20"/>
                <w:szCs w:val="20"/>
              </w:rPr>
              <w:t>mab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monoterapii</w:t>
            </w:r>
          </w:p>
          <w:p w14:paraId="4325192B" w14:textId="518DF491" w:rsidR="00E21537" w:rsidRPr="00BB6CD8" w:rsidRDefault="00E21537" w:rsidP="00BB6CD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  <w:u w:val="single"/>
              </w:rPr>
              <w:t>Obinutuzumab: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dawce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1000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mg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podawany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raz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2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miesiące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przez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dwa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lata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lub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wystąpienia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progresji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choroby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trakcie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leczenia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podtrzymującego.</w:t>
            </w:r>
          </w:p>
          <w:p w14:paraId="1085044B" w14:textId="77777777" w:rsidR="00921307" w:rsidRPr="00AE5EF0" w:rsidRDefault="00921307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5A0268B1" w14:textId="3009C688" w:rsidR="00921307" w:rsidRPr="00AE5EF0" w:rsidRDefault="00921307" w:rsidP="00C62CE7">
            <w:pPr>
              <w:pStyle w:val="Akapitzlist"/>
              <w:numPr>
                <w:ilvl w:val="0"/>
                <w:numId w:val="39"/>
              </w:numPr>
              <w:tabs>
                <w:tab w:val="left" w:pos="1095"/>
              </w:tabs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Modyfikacja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dawkowania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leków</w:t>
            </w:r>
          </w:p>
          <w:p w14:paraId="07E7F40A" w14:textId="44062978" w:rsidR="00921307" w:rsidRPr="00BB6CD8" w:rsidRDefault="00921307" w:rsidP="00BB6CD8">
            <w:pPr>
              <w:tabs>
                <w:tab w:val="left" w:pos="1095"/>
              </w:tabs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CD8">
              <w:rPr>
                <w:sz w:val="20"/>
                <w:szCs w:val="20"/>
              </w:rPr>
              <w:t>Modyfikacja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dawkowania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zgodnie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aktualną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na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dzień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wydania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decyzji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Charakterystyką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Produktu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Leczniczego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odpowiedniego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leku.</w:t>
            </w:r>
            <w:r w:rsidR="00C62CE7" w:rsidRPr="00BB6C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</w:tcPr>
          <w:p w14:paraId="5E01D756" w14:textId="2C0BAA76" w:rsidR="007A452A" w:rsidRPr="00AE5EF0" w:rsidRDefault="007A452A" w:rsidP="00BB6C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60" w:line="276" w:lineRule="auto"/>
              <w:ind w:right="79"/>
              <w:contextualSpacing w:val="0"/>
              <w:jc w:val="both"/>
              <w:rPr>
                <w:b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Badania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przy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155E705A" w14:textId="027E7409" w:rsidR="00A126B0" w:rsidRPr="00AE5EF0" w:rsidRDefault="007A452A" w:rsidP="00BB6CD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A126B0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A126B0"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6125EF" w:rsidRPr="00AE5EF0">
              <w:rPr>
                <w:sz w:val="20"/>
                <w:szCs w:val="20"/>
              </w:rPr>
              <w:t>(wz</w:t>
            </w:r>
            <w:r w:rsidR="001F515D" w:rsidRPr="00AE5EF0">
              <w:rPr>
                <w:sz w:val="20"/>
                <w:szCs w:val="20"/>
              </w:rPr>
              <w:t>orem</w:t>
            </w:r>
            <w:r w:rsidR="00C62CE7">
              <w:rPr>
                <w:sz w:val="20"/>
                <w:szCs w:val="20"/>
              </w:rPr>
              <w:t xml:space="preserve"> </w:t>
            </w:r>
            <w:r w:rsidR="006125EF" w:rsidRPr="00AE5EF0">
              <w:rPr>
                <w:sz w:val="20"/>
                <w:szCs w:val="20"/>
              </w:rPr>
              <w:t>odsetkowy</w:t>
            </w:r>
            <w:r w:rsidR="001F515D" w:rsidRPr="00AE5EF0">
              <w:rPr>
                <w:sz w:val="20"/>
                <w:szCs w:val="20"/>
              </w:rPr>
              <w:t>m</w:t>
            </w:r>
            <w:r w:rsidR="006125EF" w:rsidRPr="00AE5EF0">
              <w:rPr>
                <w:sz w:val="20"/>
                <w:szCs w:val="20"/>
              </w:rPr>
              <w:t>)</w:t>
            </w:r>
            <w:r w:rsidRPr="00AE5EF0">
              <w:rPr>
                <w:sz w:val="20"/>
                <w:szCs w:val="20"/>
              </w:rPr>
              <w:t>;</w:t>
            </w:r>
          </w:p>
          <w:p w14:paraId="5A5FE612" w14:textId="7A2E408B" w:rsidR="00A126B0" w:rsidRPr="00AE5EF0" w:rsidRDefault="00A126B0" w:rsidP="00BB6CD8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wydolności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eGFR,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kwasu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moczowego,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AST,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całkowitej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surowicy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krwi);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2297815F" w14:textId="54425977" w:rsidR="00A126B0" w:rsidRPr="00AE5EF0" w:rsidRDefault="00A126B0" w:rsidP="00BB6CD8">
            <w:pPr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aktywność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dehydrogenazy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mleczanowej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(LDH);</w:t>
            </w:r>
          </w:p>
          <w:p w14:paraId="2C0A1A28" w14:textId="111B3FE9" w:rsidR="00A126B0" w:rsidRPr="00AE5EF0" w:rsidRDefault="00A126B0" w:rsidP="00BB6CD8">
            <w:pPr>
              <w:numPr>
                <w:ilvl w:val="3"/>
                <w:numId w:val="4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obrazowe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pozwalające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stopnia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zaawansowania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PET-TK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NMR);</w:t>
            </w:r>
          </w:p>
          <w:p w14:paraId="6AE7F581" w14:textId="68BB64A1" w:rsidR="00A126B0" w:rsidRPr="00AE5EF0" w:rsidRDefault="00A126B0" w:rsidP="00BB6CD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histologiczne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węzła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chłonnego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tkanki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pozawęzłowej</w:t>
            </w:r>
            <w:r w:rsidR="007E443F" w:rsidRPr="00AE5EF0">
              <w:rPr>
                <w:sz w:val="20"/>
                <w:szCs w:val="20"/>
              </w:rPr>
              <w:t>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obecności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antygenu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CD20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kwalifikacji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linii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leczenia</w:t>
            </w:r>
            <w:r w:rsidRPr="00AE5EF0">
              <w:rPr>
                <w:sz w:val="20"/>
                <w:szCs w:val="20"/>
              </w:rPr>
              <w:t>;</w:t>
            </w:r>
          </w:p>
          <w:p w14:paraId="1A9A2D4D" w14:textId="134620C6" w:rsidR="00A126B0" w:rsidRPr="00AE5EF0" w:rsidRDefault="00A126B0" w:rsidP="00BB6CD8">
            <w:pPr>
              <w:numPr>
                <w:ilvl w:val="3"/>
                <w:numId w:val="4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przesiewowe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kierunku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WZW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typu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zawierające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testy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kierunku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HbsAg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HbcAb,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dodatniego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wyniku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HbsAg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HBcAb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HBV-DNA;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27C8A25D" w14:textId="4C2719E5" w:rsidR="00A126B0" w:rsidRPr="00AE5EF0" w:rsidRDefault="00A126B0" w:rsidP="00BB6CD8">
            <w:pPr>
              <w:numPr>
                <w:ilvl w:val="3"/>
                <w:numId w:val="4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przesiewowe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kierunku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WZW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typu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zawierające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oznaczenie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przeciwciał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anty-HCV,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dodatniego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wyniku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obecność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przeciwciał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anty-HCV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HCV-RNA;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570996E3" w14:textId="21027DBB" w:rsidR="00A126B0" w:rsidRPr="00AE5EF0" w:rsidRDefault="00A126B0" w:rsidP="00BB6CD8">
            <w:pPr>
              <w:numPr>
                <w:ilvl w:val="3"/>
                <w:numId w:val="4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test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ciążowy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kobiet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wieku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rozrodczym).</w:t>
            </w:r>
          </w:p>
          <w:p w14:paraId="25EE58C9" w14:textId="569CB064" w:rsidR="00A126B0" w:rsidRPr="00BB6CD8" w:rsidRDefault="00A126B0" w:rsidP="00BB6CD8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B6CD8">
              <w:rPr>
                <w:sz w:val="20"/>
                <w:szCs w:val="20"/>
              </w:rPr>
              <w:t>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przypadku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lokalizacji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pozawęzłowej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chłoniaka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wykonanie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innych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badań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oceniających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zaawansowanie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chłoniaka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oprócz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badań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w/w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-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decyzji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lekarza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prowadzącego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(badania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endoskopowe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lub</w:t>
            </w:r>
            <w:r w:rsidR="00C62CE7" w:rsidRPr="00BB6CD8">
              <w:rPr>
                <w:sz w:val="20"/>
                <w:szCs w:val="20"/>
              </w:rPr>
              <w:t xml:space="preserve"> </w:t>
            </w:r>
            <w:r w:rsidRPr="00BB6CD8">
              <w:rPr>
                <w:sz w:val="20"/>
                <w:szCs w:val="20"/>
              </w:rPr>
              <w:t>inne).</w:t>
            </w:r>
          </w:p>
          <w:p w14:paraId="4152A5AB" w14:textId="77777777" w:rsidR="007A452A" w:rsidRPr="00AE5EF0" w:rsidRDefault="007A452A" w:rsidP="00AE5EF0">
            <w:pPr>
              <w:autoSpaceDE w:val="0"/>
              <w:autoSpaceDN w:val="0"/>
              <w:adjustRightInd w:val="0"/>
              <w:spacing w:after="60" w:line="276" w:lineRule="auto"/>
              <w:ind w:right="79"/>
              <w:jc w:val="both"/>
              <w:rPr>
                <w:sz w:val="20"/>
                <w:szCs w:val="20"/>
              </w:rPr>
            </w:pPr>
          </w:p>
          <w:p w14:paraId="1AAA7800" w14:textId="18260C0D" w:rsidR="007A452A" w:rsidRPr="00AE5EF0" w:rsidRDefault="007A452A" w:rsidP="00BB6C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Monitorowanie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10F8B48E" w14:textId="73FFBDC6" w:rsidR="007E443F" w:rsidRPr="00AE5EF0" w:rsidRDefault="004245D2" w:rsidP="00BB6CD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</w:t>
            </w:r>
            <w:r w:rsidR="007A452A" w:rsidRPr="00AE5EF0">
              <w:rPr>
                <w:sz w:val="20"/>
                <w:szCs w:val="20"/>
              </w:rPr>
              <w:t>adania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przeprowadzane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przed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każdym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podaniem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leku</w:t>
            </w:r>
          </w:p>
          <w:p w14:paraId="4D2EA8E7" w14:textId="1E6EFB6E" w:rsidR="007E443F" w:rsidRPr="00AE5EF0" w:rsidRDefault="007A452A" w:rsidP="00BB6CD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7E443F"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B45D1D" w:rsidRPr="00AE5EF0">
              <w:rPr>
                <w:sz w:val="20"/>
                <w:szCs w:val="20"/>
              </w:rPr>
              <w:t>(wz</w:t>
            </w:r>
            <w:r w:rsidR="00104BE3" w:rsidRPr="00AE5EF0">
              <w:rPr>
                <w:sz w:val="20"/>
                <w:szCs w:val="20"/>
              </w:rPr>
              <w:t>or</w:t>
            </w:r>
            <w:r w:rsidR="001F515D" w:rsidRPr="00AE5EF0">
              <w:rPr>
                <w:sz w:val="20"/>
                <w:szCs w:val="20"/>
              </w:rPr>
              <w:t>em</w:t>
            </w:r>
            <w:r w:rsidR="00C62CE7">
              <w:rPr>
                <w:sz w:val="20"/>
                <w:szCs w:val="20"/>
              </w:rPr>
              <w:t xml:space="preserve"> </w:t>
            </w:r>
            <w:r w:rsidR="00B45D1D" w:rsidRPr="00AE5EF0">
              <w:rPr>
                <w:sz w:val="20"/>
                <w:szCs w:val="20"/>
              </w:rPr>
              <w:t>odsetkowy</w:t>
            </w:r>
            <w:r w:rsidR="001F515D" w:rsidRPr="00AE5EF0">
              <w:rPr>
                <w:sz w:val="20"/>
                <w:szCs w:val="20"/>
              </w:rPr>
              <w:t>m</w:t>
            </w:r>
            <w:r w:rsidR="00B45D1D" w:rsidRPr="00AE5EF0">
              <w:rPr>
                <w:sz w:val="20"/>
                <w:szCs w:val="20"/>
              </w:rPr>
              <w:t>)</w:t>
            </w:r>
            <w:r w:rsidR="00BB6CD8">
              <w:rPr>
                <w:sz w:val="20"/>
                <w:szCs w:val="20"/>
              </w:rPr>
              <w:t>,</w:t>
            </w:r>
          </w:p>
          <w:p w14:paraId="7F3A1480" w14:textId="2A217B2F" w:rsidR="007E443F" w:rsidRPr="00AE5EF0" w:rsidRDefault="007E443F" w:rsidP="00BB6CD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wydolności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kwasu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moczowego,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AST,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całkowitej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surowicy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krwi)</w:t>
            </w:r>
            <w:r w:rsidR="00BB6CD8">
              <w:rPr>
                <w:sz w:val="20"/>
                <w:szCs w:val="20"/>
              </w:rPr>
              <w:t>,</w:t>
            </w:r>
          </w:p>
          <w:p w14:paraId="22A9450E" w14:textId="504137D8" w:rsidR="00A50AD1" w:rsidRPr="00BB6CD8" w:rsidRDefault="00A50AD1" w:rsidP="00BB6CD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elektrolity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sodu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potasu);</w:t>
            </w:r>
          </w:p>
          <w:p w14:paraId="25AC17CE" w14:textId="7A31422B" w:rsidR="007A452A" w:rsidRPr="00AE5EF0" w:rsidRDefault="004245D2" w:rsidP="00BB6CD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</w:t>
            </w:r>
            <w:r w:rsidR="007A452A" w:rsidRPr="00AE5EF0">
              <w:rPr>
                <w:sz w:val="20"/>
                <w:szCs w:val="20"/>
              </w:rPr>
              <w:t>adania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przeprowadzane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zakończeniu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induk</w:t>
            </w:r>
            <w:r w:rsidR="00B45D1D" w:rsidRPr="00AE5EF0">
              <w:rPr>
                <w:sz w:val="20"/>
                <w:szCs w:val="20"/>
              </w:rPr>
              <w:t>ującego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podejrzenia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progresji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(nie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wcześniej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niż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2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cyklach</w:t>
            </w:r>
            <w:r w:rsidR="00C62CE7">
              <w:rPr>
                <w:sz w:val="20"/>
                <w:szCs w:val="20"/>
              </w:rPr>
              <w:t xml:space="preserve"> </w:t>
            </w:r>
            <w:r w:rsidR="007A452A" w:rsidRPr="00AE5EF0">
              <w:rPr>
                <w:sz w:val="20"/>
                <w:szCs w:val="20"/>
              </w:rPr>
              <w:t>leczenia):</w:t>
            </w:r>
          </w:p>
          <w:p w14:paraId="6889E5B8" w14:textId="404C23CC" w:rsidR="0037436B" w:rsidRPr="00BB6CD8" w:rsidRDefault="007A452A" w:rsidP="00AE5EF0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obrazowe,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pozwalające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stopnia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zaawansowania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PET-TK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NMR).</w:t>
            </w:r>
          </w:p>
        </w:tc>
      </w:tr>
      <w:tr w:rsidR="00EF1D90" w:rsidRPr="007E3BCE" w14:paraId="35B9B79C" w14:textId="77777777" w:rsidTr="00AE5EF0">
        <w:trPr>
          <w:trHeight w:val="567"/>
        </w:trPr>
        <w:tc>
          <w:tcPr>
            <w:tcW w:w="15388" w:type="dxa"/>
            <w:gridSpan w:val="3"/>
            <w:vAlign w:val="center"/>
          </w:tcPr>
          <w:p w14:paraId="2D912EB6" w14:textId="320B94F3" w:rsidR="00EF1D90" w:rsidRPr="006D1CB5" w:rsidRDefault="00EF1D90" w:rsidP="0007437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436B">
              <w:rPr>
                <w:b/>
                <w:bCs/>
                <w:sz w:val="20"/>
                <w:szCs w:val="20"/>
              </w:rPr>
              <w:t>LECZENIE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37436B">
              <w:rPr>
                <w:b/>
                <w:bCs/>
                <w:sz w:val="20"/>
                <w:szCs w:val="20"/>
              </w:rPr>
              <w:t>CHORYCH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37436B">
              <w:rPr>
                <w:b/>
                <w:bCs/>
                <w:sz w:val="20"/>
                <w:szCs w:val="20"/>
              </w:rPr>
              <w:t>NA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CHŁONIAKI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ZŁOŚLIWE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(ICD-10: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C83,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C85)</w:t>
            </w:r>
          </w:p>
        </w:tc>
      </w:tr>
      <w:tr w:rsidR="006F4502" w:rsidRPr="007E3BCE" w14:paraId="359070B6" w14:textId="77777777" w:rsidTr="00EB5DFC">
        <w:trPr>
          <w:trHeight w:val="20"/>
        </w:trPr>
        <w:tc>
          <w:tcPr>
            <w:tcW w:w="5665" w:type="dxa"/>
          </w:tcPr>
          <w:p w14:paraId="15C9B8E3" w14:textId="42B93FE0" w:rsidR="002F38A4" w:rsidRPr="00D101EF" w:rsidRDefault="002F38A4" w:rsidP="00D101EF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D101EF">
              <w:rPr>
                <w:color w:val="000000"/>
                <w:sz w:val="20"/>
                <w:szCs w:val="20"/>
              </w:rPr>
              <w:t>W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ramach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części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II.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programu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lekowego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chorym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na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chłoniaka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złośliwego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(ICD-10: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C83,</w:t>
            </w:r>
            <w:r w:rsidR="004111CC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C85)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udostępnia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się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terapię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piksantronem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w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III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lub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IV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linii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leczenia,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zgodnie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ze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wskazanymi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w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opisie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programu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warunkami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i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kryteriami.</w:t>
            </w:r>
          </w:p>
          <w:p w14:paraId="0C7176F8" w14:textId="77777777" w:rsidR="002F38A4" w:rsidRPr="00AE5EF0" w:rsidRDefault="002F38A4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484BB57" w14:textId="5ABFA9A9" w:rsidR="006F4502" w:rsidRPr="00AE5EF0" w:rsidRDefault="006F4502" w:rsidP="00AE5E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7313A170" w14:textId="45F10862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potwierdzony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histologicznie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agresywny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chłoniak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nieziarniczy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limfocytów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(ICD-10</w:t>
            </w:r>
            <w:r w:rsidR="00477B4C" w:rsidRPr="00AE5EF0">
              <w:rPr>
                <w:sz w:val="20"/>
                <w:szCs w:val="20"/>
              </w:rPr>
              <w:t>: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C83,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C85);</w:t>
            </w:r>
          </w:p>
          <w:p w14:paraId="532545AA" w14:textId="7E497C4E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wiek</w:t>
            </w:r>
            <w:r w:rsidR="00C62CE7">
              <w:rPr>
                <w:sz w:val="20"/>
                <w:szCs w:val="20"/>
              </w:rPr>
              <w:t xml:space="preserve"> </w:t>
            </w:r>
            <w:r w:rsidR="00C31441" w:rsidRPr="00AE5EF0">
              <w:rPr>
                <w:sz w:val="20"/>
                <w:szCs w:val="20"/>
              </w:rPr>
              <w:t>18</w:t>
            </w:r>
            <w:r w:rsidR="00C62CE7">
              <w:rPr>
                <w:sz w:val="20"/>
                <w:szCs w:val="20"/>
              </w:rPr>
              <w:t xml:space="preserve"> </w:t>
            </w:r>
            <w:r w:rsidR="00C31441" w:rsidRPr="00AE5EF0">
              <w:rPr>
                <w:sz w:val="20"/>
                <w:szCs w:val="20"/>
              </w:rPr>
              <w:t>lat</w:t>
            </w:r>
            <w:r w:rsidR="00C62CE7">
              <w:rPr>
                <w:sz w:val="20"/>
                <w:szCs w:val="20"/>
              </w:rPr>
              <w:t xml:space="preserve"> </w:t>
            </w:r>
            <w:r w:rsidR="00C31441"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="00C31441" w:rsidRPr="00AE5EF0">
              <w:rPr>
                <w:sz w:val="20"/>
                <w:szCs w:val="20"/>
              </w:rPr>
              <w:t>powyżej;</w:t>
            </w:r>
          </w:p>
          <w:p w14:paraId="57EE6DE3" w14:textId="5D045109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stan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sprawności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według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ECOG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0-2;</w:t>
            </w:r>
          </w:p>
          <w:p w14:paraId="70FA8337" w14:textId="1CB1CCCD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udokumentowane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niepowodzenie</w:t>
            </w:r>
            <w:r w:rsidR="00C62CE7">
              <w:rPr>
                <w:sz w:val="20"/>
                <w:szCs w:val="20"/>
              </w:rPr>
              <w:t xml:space="preserve"> </w:t>
            </w:r>
            <w:r w:rsidR="00912748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912748" w:rsidRPr="00AE5EF0">
              <w:rPr>
                <w:sz w:val="20"/>
                <w:szCs w:val="20"/>
              </w:rPr>
              <w:t>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912748" w:rsidRPr="00AE5EF0">
              <w:rPr>
                <w:sz w:val="20"/>
                <w:szCs w:val="20"/>
              </w:rPr>
              <w:t>III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linii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chemioterapii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(lek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może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być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zastosowany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tylko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912748" w:rsidRPr="00AE5EF0">
              <w:rPr>
                <w:sz w:val="20"/>
                <w:szCs w:val="20"/>
              </w:rPr>
              <w:t>III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912748" w:rsidRPr="00AE5EF0">
              <w:rPr>
                <w:sz w:val="20"/>
                <w:szCs w:val="20"/>
              </w:rPr>
              <w:t>IV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linii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leczenia);</w:t>
            </w:r>
          </w:p>
          <w:p w14:paraId="0EBD4890" w14:textId="0FE6E9EA" w:rsidR="00DB24A4" w:rsidRPr="00AE5EF0" w:rsidRDefault="00DB24A4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LVEF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≥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45%;</w:t>
            </w:r>
          </w:p>
          <w:p w14:paraId="7B7E93CE" w14:textId="48F6DB4E" w:rsidR="006F4502" w:rsidRPr="00AE5EF0" w:rsidRDefault="00912748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bezwzględna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liczba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neutrofili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≥1,0x10</w:t>
            </w:r>
            <w:r w:rsidRPr="00AE5EF0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Pr="00AE5EF0">
              <w:rPr>
                <w:color w:val="000000"/>
                <w:sz w:val="20"/>
                <w:szCs w:val="20"/>
              </w:rPr>
              <w:t>/l;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liczba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płytek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krwi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≥75x10</w:t>
            </w:r>
            <w:r w:rsidRPr="00AE5EF0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Pr="00AE5EF0">
              <w:rPr>
                <w:color w:val="000000"/>
                <w:sz w:val="20"/>
                <w:szCs w:val="20"/>
              </w:rPr>
              <w:t>/l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(możliwe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są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mniejsze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wartości,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ile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wynika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to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z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nacieczenia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szpiku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przebiegu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chłoniaka);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0FF294C4" w14:textId="00653671" w:rsidR="00213B76" w:rsidRPr="00AE5EF0" w:rsidRDefault="00213B76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całkowite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&lt;1,5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x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GGN,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&lt;1,5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x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GGN,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AST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&lt;2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x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GGN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zajęcia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&lt;5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x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GGN);</w:t>
            </w:r>
          </w:p>
          <w:p w14:paraId="3574E94C" w14:textId="521889DF" w:rsidR="00912748" w:rsidRPr="00AE5EF0" w:rsidRDefault="00912748" w:rsidP="00AE5EF0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brak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przeciwwskazań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aktualną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dzień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decyzji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Charakterystyką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Produktu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Leczniczego;</w:t>
            </w:r>
          </w:p>
          <w:p w14:paraId="2A85B131" w14:textId="2F5A3423" w:rsidR="00912748" w:rsidRPr="00AE5EF0" w:rsidRDefault="00912748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Cs/>
                <w:sz w:val="20"/>
                <w:szCs w:val="20"/>
              </w:rPr>
              <w:t>nieobecność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aktywnych,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ciężkich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zakażeń;</w:t>
            </w:r>
          </w:p>
          <w:p w14:paraId="65EB7E90" w14:textId="55511857" w:rsidR="00912748" w:rsidRPr="00AE5EF0" w:rsidRDefault="00912748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bookmarkStart w:id="0" w:name="_Hlk112885045"/>
            <w:r w:rsidRPr="00AE5EF0">
              <w:rPr>
                <w:color w:val="000000"/>
                <w:sz w:val="20"/>
                <w:szCs w:val="20"/>
              </w:rPr>
              <w:t>nieobecność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istotnych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schorzeń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współistniejących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stanowiących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przeciwwskazanie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bookmarkEnd w:id="0"/>
            <w:r w:rsidRPr="00AE5EF0">
              <w:rPr>
                <w:color w:val="000000"/>
                <w:sz w:val="20"/>
                <w:szCs w:val="20"/>
              </w:rPr>
              <w:t>do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terapii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stwierdzonych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przez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lekarza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prowadzącego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oparciu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aktualną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dzień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wydania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decyzji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Charakterystykę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Produktu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Leczniczego</w:t>
            </w:r>
            <w:r w:rsidR="00213B76" w:rsidRPr="00AE5EF0">
              <w:rPr>
                <w:color w:val="000000"/>
                <w:sz w:val="20"/>
                <w:szCs w:val="20"/>
              </w:rPr>
              <w:t>,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213B76"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213B76" w:rsidRPr="00AE5EF0">
              <w:rPr>
                <w:color w:val="000000"/>
                <w:sz w:val="20"/>
                <w:szCs w:val="20"/>
              </w:rPr>
              <w:t>tym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niewystępowanie</w:t>
            </w:r>
            <w:r w:rsidR="00C62CE7">
              <w:rPr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niewyrównanej</w:t>
            </w:r>
            <w:r w:rsidR="00C62CE7">
              <w:rPr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niewydolności</w:t>
            </w:r>
            <w:r w:rsidR="00C62CE7">
              <w:rPr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serca</w:t>
            </w:r>
            <w:r w:rsidR="00C62CE7">
              <w:rPr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niestabilnego</w:t>
            </w:r>
            <w:r w:rsidR="00C62CE7">
              <w:rPr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zespołu</w:t>
            </w:r>
            <w:r w:rsidR="00C62CE7">
              <w:rPr>
                <w:sz w:val="20"/>
                <w:szCs w:val="20"/>
              </w:rPr>
              <w:t xml:space="preserve"> </w:t>
            </w:r>
            <w:r w:rsidR="00213B76" w:rsidRPr="00AE5EF0">
              <w:rPr>
                <w:sz w:val="20"/>
                <w:szCs w:val="20"/>
              </w:rPr>
              <w:t>wieńcowego</w:t>
            </w:r>
            <w:r w:rsidRPr="00AE5EF0">
              <w:rPr>
                <w:color w:val="000000"/>
                <w:sz w:val="20"/>
                <w:szCs w:val="20"/>
              </w:rPr>
              <w:t>;</w:t>
            </w:r>
          </w:p>
          <w:p w14:paraId="16634B62" w14:textId="345AE567" w:rsidR="00912748" w:rsidRPr="00AE5EF0" w:rsidRDefault="00912748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bookmarkStart w:id="1" w:name="_Hlk112885027"/>
            <w:r w:rsidRPr="00AE5EF0">
              <w:rPr>
                <w:color w:val="000000"/>
                <w:sz w:val="20"/>
                <w:szCs w:val="20"/>
              </w:rPr>
              <w:t>adekwatna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wydolność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narządowa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bookmarkEnd w:id="1"/>
            <w:r w:rsidRPr="00AE5EF0">
              <w:rPr>
                <w:color w:val="000000"/>
                <w:sz w:val="20"/>
                <w:szCs w:val="20"/>
              </w:rPr>
              <w:t>określona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podstawie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wyników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badań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laboratoryjnych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krwi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umożliwiająca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opinii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lekarza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prowadzącego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bezpieczne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rozpoczęcie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terapii</w:t>
            </w:r>
            <w:r w:rsidR="00D101EF">
              <w:rPr>
                <w:color w:val="000000"/>
                <w:sz w:val="20"/>
                <w:szCs w:val="20"/>
              </w:rPr>
              <w:t>;</w:t>
            </w:r>
          </w:p>
          <w:p w14:paraId="3823656D" w14:textId="73A0BE06" w:rsidR="00213B76" w:rsidRPr="00AE5EF0" w:rsidRDefault="00213B76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brak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nadwrażliwości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którykolwiek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którąkolwiek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substancję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pomocniczą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leku;</w:t>
            </w:r>
          </w:p>
          <w:p w14:paraId="40F6DD84" w14:textId="1E346866" w:rsidR="00213B76" w:rsidRPr="00AE5EF0" w:rsidRDefault="00213B76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wykluczenie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okresu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karmienia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piersią;</w:t>
            </w:r>
          </w:p>
          <w:p w14:paraId="599CDF67" w14:textId="39DE93EB" w:rsidR="00213B76" w:rsidRPr="00AE5EF0" w:rsidRDefault="00213B76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zgoda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stosowanie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skutecznych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metod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zapobiegania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trakcie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terapii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zakończeniu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informacjami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zawartymi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aktualnej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dzień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decyzji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Charakterystyce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Produktu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Leczniczego.</w:t>
            </w:r>
          </w:p>
          <w:p w14:paraId="0FBC44F1" w14:textId="67B86C74" w:rsidR="006F4502" w:rsidRPr="00D101EF" w:rsidRDefault="006F4502" w:rsidP="00D101E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101EF">
              <w:rPr>
                <w:sz w:val="20"/>
                <w:szCs w:val="20"/>
              </w:rPr>
              <w:t>Kryteria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kwalifikacji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muszą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być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spełnione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łącznie.</w:t>
            </w:r>
          </w:p>
          <w:p w14:paraId="05CB1000" w14:textId="77777777" w:rsidR="006F4502" w:rsidRPr="00AE5EF0" w:rsidRDefault="006F4502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4AD8E8B" w14:textId="2384ADB2" w:rsidR="006F4502" w:rsidRPr="00AE5EF0" w:rsidRDefault="006F4502" w:rsidP="00AE5E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Określenie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czasu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programie</w:t>
            </w:r>
          </w:p>
          <w:p w14:paraId="2BA93168" w14:textId="4D991E1F" w:rsidR="00477B4C" w:rsidRPr="00D101EF" w:rsidRDefault="00C31441" w:rsidP="00D101EF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D101EF">
              <w:rPr>
                <w:sz w:val="20"/>
                <w:szCs w:val="20"/>
              </w:rPr>
              <w:t>Leczenie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trwa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czasu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podjęcia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przez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lekarza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prowadzącego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decyzji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wyłączeniu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świadczeniobiorcy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programu,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zgodnie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kryteriami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wyłączenia,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jednak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zastrzeżeniem,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iż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l</w:t>
            </w:r>
            <w:r w:rsidR="006F4502" w:rsidRPr="00D101EF">
              <w:rPr>
                <w:bCs/>
                <w:sz w:val="20"/>
                <w:szCs w:val="20"/>
              </w:rPr>
              <w:t>eczenie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="006F4502" w:rsidRPr="00D101EF">
              <w:rPr>
                <w:bCs/>
                <w:sz w:val="20"/>
                <w:szCs w:val="20"/>
              </w:rPr>
              <w:t>piksantronem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="006F4502" w:rsidRPr="00D101EF">
              <w:rPr>
                <w:bCs/>
                <w:sz w:val="20"/>
                <w:szCs w:val="20"/>
              </w:rPr>
              <w:t>kontynuuje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="006F4502" w:rsidRPr="00D101EF">
              <w:rPr>
                <w:bCs/>
                <w:sz w:val="20"/>
                <w:szCs w:val="20"/>
              </w:rPr>
              <w:t>się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="006F4502" w:rsidRPr="00D101EF">
              <w:rPr>
                <w:bCs/>
                <w:sz w:val="20"/>
                <w:szCs w:val="20"/>
              </w:rPr>
              <w:t>do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="006F4502" w:rsidRPr="00D101EF">
              <w:rPr>
                <w:bCs/>
                <w:sz w:val="20"/>
                <w:szCs w:val="20"/>
              </w:rPr>
              <w:t>maksymalnie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="006F4502" w:rsidRPr="00D101EF">
              <w:rPr>
                <w:bCs/>
                <w:sz w:val="20"/>
                <w:szCs w:val="20"/>
              </w:rPr>
              <w:t>6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="006F4502" w:rsidRPr="00D101EF">
              <w:rPr>
                <w:bCs/>
                <w:sz w:val="20"/>
                <w:szCs w:val="20"/>
              </w:rPr>
              <w:t>cykli</w:t>
            </w:r>
            <w:r w:rsidRPr="00D101EF">
              <w:rPr>
                <w:bCs/>
                <w:sz w:val="20"/>
                <w:szCs w:val="20"/>
              </w:rPr>
              <w:t>.</w:t>
            </w:r>
          </w:p>
          <w:p w14:paraId="43094CD4" w14:textId="77777777" w:rsidR="003363A8" w:rsidRPr="00AE5EF0" w:rsidRDefault="003363A8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ACC597D" w14:textId="19FFFDDB" w:rsidR="006F4502" w:rsidRPr="00AE5EF0" w:rsidRDefault="006F4502" w:rsidP="00AE5EF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E5EF0">
              <w:rPr>
                <w:b/>
                <w:bCs/>
                <w:sz w:val="20"/>
                <w:szCs w:val="20"/>
              </w:rPr>
              <w:t>wyłączenia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E5EF0"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2E64FA" w:rsidRPr="00AE5EF0">
              <w:rPr>
                <w:b/>
                <w:bCs/>
                <w:sz w:val="20"/>
                <w:szCs w:val="20"/>
              </w:rPr>
              <w:t>programu</w:t>
            </w:r>
          </w:p>
          <w:p w14:paraId="3C920D64" w14:textId="66922726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progresja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choroby;</w:t>
            </w:r>
          </w:p>
          <w:p w14:paraId="4A188E45" w14:textId="49F2F1DF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wystąpienie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objawów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nadwrażliwości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piksantron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którąkolwiek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substancję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pomocniczą;</w:t>
            </w:r>
          </w:p>
          <w:p w14:paraId="2B16B7D9" w14:textId="6C0A9CCC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stan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sprawności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według</w:t>
            </w:r>
            <w:r w:rsidR="00C62CE7">
              <w:rPr>
                <w:sz w:val="20"/>
                <w:szCs w:val="20"/>
              </w:rPr>
              <w:t xml:space="preserve"> </w:t>
            </w:r>
            <w:r w:rsidR="001C78AD" w:rsidRPr="00AE5EF0">
              <w:rPr>
                <w:sz w:val="20"/>
                <w:szCs w:val="20"/>
              </w:rPr>
              <w:t>ECOG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3-4;</w:t>
            </w:r>
          </w:p>
          <w:p w14:paraId="2197BDF3" w14:textId="2BFDEEBD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kardiotoksyczność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3.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4.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stopnia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NYHA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utrzymujący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się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spadek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LVEF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≥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15%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stosunku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stanu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wyjściowego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ustępujące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pomimo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odroczenia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28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dni;</w:t>
            </w:r>
          </w:p>
          <w:p w14:paraId="555EDD01" w14:textId="53FED992" w:rsidR="006F4502" w:rsidRPr="00AE5EF0" w:rsidRDefault="006F4502" w:rsidP="00AE5EF0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utrzymująca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się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powyżej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28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dni,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toksyczność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spowodowana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lekiem,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3.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4.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stopnia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(inna</w:t>
            </w:r>
            <w:r w:rsidR="00C62CE7">
              <w:rPr>
                <w:sz w:val="20"/>
                <w:szCs w:val="20"/>
              </w:rPr>
              <w:t xml:space="preserve"> </w:t>
            </w:r>
            <w:r w:rsidR="00DC6E9A" w:rsidRPr="00AE5EF0">
              <w:rPr>
                <w:sz w:val="20"/>
                <w:szCs w:val="20"/>
              </w:rPr>
              <w:t>niż,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nudności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wymioty)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ustępująca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pomimo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odroczenia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28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dni;</w:t>
            </w:r>
          </w:p>
          <w:p w14:paraId="456781C6" w14:textId="6BD3F785" w:rsidR="001C78AD" w:rsidRPr="00AE5EF0" w:rsidRDefault="001C78AD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ciąża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karmienie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piersią;</w:t>
            </w:r>
          </w:p>
          <w:p w14:paraId="2EEA63E5" w14:textId="3E1ED817" w:rsidR="001C78AD" w:rsidRPr="00AE5EF0" w:rsidRDefault="001C78AD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pogorszenie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stanu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istotnym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znaczeniu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według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lekarza;</w:t>
            </w:r>
          </w:p>
          <w:p w14:paraId="71070F4C" w14:textId="111F6B02" w:rsidR="001C78AD" w:rsidRPr="00AE5EF0" w:rsidRDefault="001C78AD" w:rsidP="00AE5EF0">
            <w:pPr>
              <w:pStyle w:val="Akapitzlist"/>
              <w:numPr>
                <w:ilvl w:val="3"/>
                <w:numId w:val="3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Cs/>
                <w:sz w:val="20"/>
                <w:szCs w:val="20"/>
              </w:rPr>
              <w:t>rezygnacja</w:t>
            </w:r>
            <w:r w:rsidR="00C62CE7">
              <w:rPr>
                <w:bCs/>
                <w:sz w:val="20"/>
                <w:szCs w:val="20"/>
              </w:rPr>
              <w:t xml:space="preserve"> </w:t>
            </w:r>
            <w:r w:rsidRPr="00AE5EF0">
              <w:rPr>
                <w:bCs/>
                <w:sz w:val="20"/>
                <w:szCs w:val="20"/>
              </w:rPr>
              <w:t>pacjenta.</w:t>
            </w:r>
          </w:p>
          <w:p w14:paraId="33516560" w14:textId="2D94030E" w:rsidR="003C4635" w:rsidRPr="00AE5EF0" w:rsidRDefault="003C4635" w:rsidP="00AE5EF0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15BBAC3E" w14:textId="578E4782" w:rsidR="00BF0462" w:rsidRPr="00AE5EF0" w:rsidRDefault="00BF0462" w:rsidP="00D101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Dawkowanie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31441" w:rsidRPr="00AE5EF0">
              <w:rPr>
                <w:b/>
                <w:bCs/>
                <w:sz w:val="20"/>
                <w:szCs w:val="20"/>
              </w:rPr>
              <w:t>leku</w:t>
            </w:r>
          </w:p>
          <w:p w14:paraId="3CE9F198" w14:textId="2A219E93" w:rsidR="006F4502" w:rsidRPr="00D101EF" w:rsidRDefault="006F4502" w:rsidP="00D101E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D101EF">
              <w:rPr>
                <w:bCs/>
                <w:sz w:val="20"/>
                <w:szCs w:val="20"/>
              </w:rPr>
              <w:t>Zalecana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dawka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piksantronu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wynosi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50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mg/m</w:t>
            </w:r>
            <w:r w:rsidRPr="00D101EF">
              <w:rPr>
                <w:bCs/>
                <w:sz w:val="20"/>
                <w:szCs w:val="20"/>
                <w:vertAlign w:val="superscript"/>
              </w:rPr>
              <w:t>2</w:t>
            </w:r>
            <w:r w:rsidR="00C62CE7" w:rsidRPr="00D101EF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6D1CB5" w:rsidRPr="00D101EF">
              <w:rPr>
                <w:bCs/>
                <w:sz w:val="20"/>
                <w:szCs w:val="20"/>
              </w:rPr>
              <w:t>pc.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w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postaci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infuzji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dożylnej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podawanej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w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1.,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8.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oraz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15.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dniu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każdego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28-dniowego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cyklu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–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przez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nie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więcej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niż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6</w:t>
            </w:r>
            <w:r w:rsidR="00C62CE7" w:rsidRPr="00D101EF">
              <w:rPr>
                <w:bCs/>
                <w:sz w:val="20"/>
                <w:szCs w:val="20"/>
              </w:rPr>
              <w:t xml:space="preserve"> </w:t>
            </w:r>
            <w:r w:rsidRPr="00D101EF">
              <w:rPr>
                <w:bCs/>
                <w:sz w:val="20"/>
                <w:szCs w:val="20"/>
              </w:rPr>
              <w:t>cykli.</w:t>
            </w:r>
          </w:p>
          <w:p w14:paraId="75E615DA" w14:textId="67BF4F77" w:rsidR="006F4502" w:rsidRPr="00D101EF" w:rsidRDefault="006F4502" w:rsidP="00D101EF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D101EF">
              <w:rPr>
                <w:sz w:val="20"/>
                <w:szCs w:val="20"/>
              </w:rPr>
              <w:t>Piksantron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jest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przeznaczony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podawania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powolnym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wlewie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dożylnym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(trwającym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najmniej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60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minut)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pomocą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zestawu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infuzji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wyposażonego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filtr,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wyłącznie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uprzednim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rozpuszczeniu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5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ml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0,9%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roztworu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chlorku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sodu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(9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mg/ml)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wstrzykiwań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dalszym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rozcieńczeniu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0,9%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roztworze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chlorku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sodu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wstrzykiwań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ostatecznej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objętości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250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ml.</w:t>
            </w:r>
          </w:p>
          <w:p w14:paraId="16E150E5" w14:textId="77777777" w:rsidR="006F4502" w:rsidRPr="00AE5EF0" w:rsidRDefault="006F4502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CE92F0A" w14:textId="11809661" w:rsidR="006F4502" w:rsidRPr="00AE5EF0" w:rsidRDefault="006F4502" w:rsidP="00D101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Modyfikacja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6D1CB5" w:rsidRPr="00AE5EF0">
              <w:rPr>
                <w:b/>
                <w:bCs/>
                <w:sz w:val="20"/>
                <w:szCs w:val="20"/>
              </w:rPr>
              <w:t>dawkowania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31441" w:rsidRPr="00AE5EF0">
              <w:rPr>
                <w:b/>
                <w:bCs/>
                <w:sz w:val="20"/>
                <w:szCs w:val="20"/>
              </w:rPr>
              <w:t>leku</w:t>
            </w:r>
          </w:p>
          <w:p w14:paraId="404587F3" w14:textId="44D6E467" w:rsidR="00C31441" w:rsidRPr="00D101EF" w:rsidRDefault="00C31441" w:rsidP="00D101EF">
            <w:pPr>
              <w:tabs>
                <w:tab w:val="left" w:pos="1095"/>
              </w:tabs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101EF">
              <w:rPr>
                <w:sz w:val="20"/>
                <w:szCs w:val="20"/>
              </w:rPr>
              <w:t>Modyfikacja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dawkowania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zgodnie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aktualną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na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dzień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wydania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decyzji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Charakterystyką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Produktu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Leczniczego.</w:t>
            </w:r>
          </w:p>
          <w:p w14:paraId="78BE8844" w14:textId="391947C2" w:rsidR="006F4502" w:rsidRPr="00AE5EF0" w:rsidRDefault="006F4502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3F37B6A7" w14:textId="4E223F79" w:rsidR="00BF0462" w:rsidRPr="00AE5EF0" w:rsidRDefault="00BF0462" w:rsidP="00D101E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Badania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przy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54BF8263" w14:textId="69BCF748" w:rsidR="006F4502" w:rsidRPr="00AE5EF0" w:rsidRDefault="006F4502" w:rsidP="00D101EF">
            <w:pPr>
              <w:numPr>
                <w:ilvl w:val="3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1F515D" w:rsidRPr="00AE5EF0">
              <w:rPr>
                <w:sz w:val="20"/>
                <w:szCs w:val="20"/>
              </w:rPr>
              <w:t>(wzorem</w:t>
            </w:r>
            <w:r w:rsidR="00C62CE7">
              <w:rPr>
                <w:sz w:val="20"/>
                <w:szCs w:val="20"/>
              </w:rPr>
              <w:t xml:space="preserve"> </w:t>
            </w:r>
            <w:r w:rsidR="001F515D" w:rsidRPr="00AE5EF0">
              <w:rPr>
                <w:sz w:val="20"/>
                <w:szCs w:val="20"/>
              </w:rPr>
              <w:t>odsetkowym)</w:t>
            </w:r>
            <w:r w:rsidRPr="00AE5EF0">
              <w:rPr>
                <w:sz w:val="20"/>
                <w:szCs w:val="20"/>
              </w:rPr>
              <w:t>;</w:t>
            </w:r>
          </w:p>
          <w:p w14:paraId="51F9FD0F" w14:textId="0876B6E7" w:rsidR="006F4502" w:rsidRPr="00AE5EF0" w:rsidRDefault="00266B4D" w:rsidP="00D101EF">
            <w:pPr>
              <w:numPr>
                <w:ilvl w:val="3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wydolności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</w:t>
            </w:r>
            <w:r w:rsidR="006F4502" w:rsidRPr="00AE5EF0">
              <w:rPr>
                <w:sz w:val="20"/>
                <w:szCs w:val="20"/>
              </w:rPr>
              <w:t>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AST,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całkowitej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surowicy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krwi)</w:t>
            </w:r>
            <w:r w:rsidR="00B5059B" w:rsidRPr="00AE5EF0">
              <w:rPr>
                <w:sz w:val="20"/>
                <w:szCs w:val="20"/>
              </w:rPr>
              <w:t>;</w:t>
            </w:r>
          </w:p>
          <w:p w14:paraId="600C8384" w14:textId="5BA0B4C5" w:rsidR="006F4502" w:rsidRPr="00AE5EF0" w:rsidRDefault="006F4502" w:rsidP="00D101EF">
            <w:pPr>
              <w:numPr>
                <w:ilvl w:val="3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obrazowe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USG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RTG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inne);</w:t>
            </w:r>
          </w:p>
          <w:p w14:paraId="5B1E40E2" w14:textId="77777777" w:rsidR="006F4502" w:rsidRPr="00AE5EF0" w:rsidRDefault="006F4502" w:rsidP="00D101EF">
            <w:pPr>
              <w:numPr>
                <w:ilvl w:val="3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EKG;</w:t>
            </w:r>
          </w:p>
          <w:p w14:paraId="0981892A" w14:textId="35C03F11" w:rsidR="0067197D" w:rsidRPr="00AE5EF0" w:rsidRDefault="006F4502" w:rsidP="00D101EF">
            <w:pPr>
              <w:numPr>
                <w:ilvl w:val="3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LVEF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wykonana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metodą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ECHO</w:t>
            </w:r>
            <w:r w:rsidR="0067197D" w:rsidRPr="00AE5EF0">
              <w:rPr>
                <w:sz w:val="20"/>
                <w:szCs w:val="20"/>
              </w:rPr>
              <w:t>;</w:t>
            </w:r>
          </w:p>
          <w:p w14:paraId="32AC0774" w14:textId="6F39D437" w:rsidR="006F4502" w:rsidRPr="00AE5EF0" w:rsidRDefault="0067197D" w:rsidP="00D101EF">
            <w:pPr>
              <w:pStyle w:val="Akapitzlist"/>
              <w:numPr>
                <w:ilvl w:val="3"/>
                <w:numId w:val="4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test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ciążowy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kobiet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wieku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rozrodczym).</w:t>
            </w:r>
          </w:p>
          <w:p w14:paraId="4ABB21AB" w14:textId="77777777" w:rsidR="00B0142A" w:rsidRPr="00AE5EF0" w:rsidRDefault="00B0142A" w:rsidP="00AE5EF0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16B24540" w14:textId="468129B9" w:rsidR="00EB65AF" w:rsidRPr="00AE5EF0" w:rsidRDefault="006F4502" w:rsidP="00D101E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Monitorowanie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6AF67500" w14:textId="742BDAAB" w:rsidR="00EB65AF" w:rsidRPr="00AE5EF0" w:rsidRDefault="00EB65AF" w:rsidP="00D101EF">
            <w:pPr>
              <w:pStyle w:val="Akapitzlist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</w:t>
            </w:r>
            <w:r w:rsidR="006F4502" w:rsidRPr="00AE5EF0">
              <w:rPr>
                <w:sz w:val="20"/>
                <w:szCs w:val="20"/>
              </w:rPr>
              <w:t>adania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wykonywane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przed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każdym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podaniem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leku:</w:t>
            </w:r>
          </w:p>
          <w:p w14:paraId="45E0200C" w14:textId="3B434981" w:rsidR="00EB65AF" w:rsidRPr="00AE5EF0" w:rsidRDefault="006F4502" w:rsidP="00D101EF">
            <w:pPr>
              <w:pStyle w:val="Akapitzlist"/>
              <w:numPr>
                <w:ilvl w:val="4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1F515D" w:rsidRPr="00AE5EF0">
              <w:rPr>
                <w:sz w:val="20"/>
                <w:szCs w:val="20"/>
              </w:rPr>
              <w:t>(wzorem</w:t>
            </w:r>
            <w:r w:rsidR="00C62CE7">
              <w:rPr>
                <w:sz w:val="20"/>
                <w:szCs w:val="20"/>
              </w:rPr>
              <w:t xml:space="preserve"> </w:t>
            </w:r>
            <w:r w:rsidR="001F515D" w:rsidRPr="00AE5EF0">
              <w:rPr>
                <w:sz w:val="20"/>
                <w:szCs w:val="20"/>
              </w:rPr>
              <w:t>odsetkowym)</w:t>
            </w:r>
            <w:r w:rsidRPr="00AE5EF0">
              <w:rPr>
                <w:sz w:val="20"/>
                <w:szCs w:val="20"/>
              </w:rPr>
              <w:t>,</w:t>
            </w:r>
          </w:p>
          <w:p w14:paraId="2857B884" w14:textId="44CFC73E" w:rsidR="006F4502" w:rsidRPr="00AE5EF0" w:rsidRDefault="006F4502" w:rsidP="00D101EF">
            <w:pPr>
              <w:pStyle w:val="Akapitzlist"/>
              <w:numPr>
                <w:ilvl w:val="4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</w:t>
            </w:r>
            <w:r w:rsidR="00C62CE7">
              <w:rPr>
                <w:sz w:val="20"/>
                <w:szCs w:val="20"/>
              </w:rPr>
              <w:t xml:space="preserve"> </w:t>
            </w:r>
            <w:r w:rsidR="00EB65AF"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="00EB65AF"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="00EB65AF" w:rsidRPr="00AE5EF0">
              <w:rPr>
                <w:sz w:val="20"/>
                <w:szCs w:val="20"/>
              </w:rPr>
              <w:t>całkowitej</w:t>
            </w:r>
            <w:r w:rsidR="00C62CE7">
              <w:rPr>
                <w:sz w:val="20"/>
                <w:szCs w:val="20"/>
              </w:rPr>
              <w:t xml:space="preserve"> </w:t>
            </w:r>
            <w:r w:rsidR="00EB65AF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EB65AF" w:rsidRPr="00AE5EF0">
              <w:rPr>
                <w:sz w:val="20"/>
                <w:szCs w:val="20"/>
              </w:rPr>
              <w:t>surowicy</w:t>
            </w:r>
            <w:r w:rsidR="00C62CE7">
              <w:rPr>
                <w:sz w:val="20"/>
                <w:szCs w:val="20"/>
              </w:rPr>
              <w:t xml:space="preserve"> </w:t>
            </w:r>
            <w:r w:rsidR="00EB65AF" w:rsidRPr="00AE5EF0">
              <w:rPr>
                <w:sz w:val="20"/>
                <w:szCs w:val="20"/>
              </w:rPr>
              <w:t>krwi</w:t>
            </w:r>
            <w:r w:rsidR="00D101EF">
              <w:rPr>
                <w:sz w:val="20"/>
                <w:szCs w:val="20"/>
              </w:rPr>
              <w:t>;</w:t>
            </w:r>
          </w:p>
          <w:p w14:paraId="112C4D6E" w14:textId="06591853" w:rsidR="00EB65AF" w:rsidRPr="00AE5EF0" w:rsidRDefault="00EB65AF" w:rsidP="00D101EF">
            <w:pPr>
              <w:pStyle w:val="Akapitzlist"/>
              <w:numPr>
                <w:ilvl w:val="3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wykonywane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drugi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cykl</w:t>
            </w:r>
            <w:r w:rsidR="00C62CE7">
              <w:rPr>
                <w:sz w:val="20"/>
                <w:szCs w:val="20"/>
              </w:rPr>
              <w:t xml:space="preserve"> </w:t>
            </w:r>
            <w:r w:rsidR="006F4502" w:rsidRPr="00AE5EF0">
              <w:rPr>
                <w:sz w:val="20"/>
                <w:szCs w:val="20"/>
              </w:rPr>
              <w:t>leczenia:</w:t>
            </w:r>
          </w:p>
          <w:p w14:paraId="043902B8" w14:textId="5A26883E" w:rsidR="006F4502" w:rsidRPr="00AE5EF0" w:rsidRDefault="006F4502" w:rsidP="00D101EF">
            <w:pPr>
              <w:pStyle w:val="Akapitzlist"/>
              <w:numPr>
                <w:ilvl w:val="4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ECHO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serca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oceną</w:t>
            </w:r>
            <w:r w:rsidR="00C62CE7">
              <w:rPr>
                <w:sz w:val="20"/>
                <w:szCs w:val="20"/>
              </w:rPr>
              <w:t xml:space="preserve"> </w:t>
            </w:r>
            <w:r w:rsidR="00C03E9A" w:rsidRPr="00AE5EF0">
              <w:rPr>
                <w:sz w:val="20"/>
                <w:szCs w:val="20"/>
              </w:rPr>
              <w:t>LV</w:t>
            </w:r>
            <w:r w:rsidRPr="00AE5EF0">
              <w:rPr>
                <w:sz w:val="20"/>
                <w:szCs w:val="20"/>
              </w:rPr>
              <w:t>EF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EKG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(przed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podaniem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pierwszym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28-dniowego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cyklu);</w:t>
            </w:r>
          </w:p>
          <w:p w14:paraId="559DBB04" w14:textId="26CDFD99" w:rsidR="006F4502" w:rsidRPr="00AE5EF0" w:rsidRDefault="006F4502" w:rsidP="00D101EF">
            <w:pPr>
              <w:pStyle w:val="Akapitzlist"/>
              <w:numPr>
                <w:ilvl w:val="3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razie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podejrzenia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progresji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="00EB65AF"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odpowiednie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obrazowe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USG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RTG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inne).</w:t>
            </w:r>
          </w:p>
          <w:p w14:paraId="0D028AB8" w14:textId="62B115B6" w:rsidR="00F06412" w:rsidRPr="00AE5EF0" w:rsidRDefault="00F06412" w:rsidP="00AE5EF0">
            <w:p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6387E" w:rsidRPr="007E3BCE" w14:paraId="367F0D54" w14:textId="77777777" w:rsidTr="00AE5EF0">
        <w:trPr>
          <w:trHeight w:val="567"/>
        </w:trPr>
        <w:tc>
          <w:tcPr>
            <w:tcW w:w="15388" w:type="dxa"/>
            <w:gridSpan w:val="3"/>
            <w:vAlign w:val="center"/>
          </w:tcPr>
          <w:p w14:paraId="79A7D40E" w14:textId="0B12DF33" w:rsidR="00C6387E" w:rsidRPr="00C6387E" w:rsidRDefault="00C6387E" w:rsidP="00AE5EF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LECZENIE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CHORYCH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CHŁONIAKI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</w:t>
            </w:r>
            <w:r w:rsidR="00F328D6">
              <w:rPr>
                <w:b/>
                <w:bCs/>
                <w:sz w:val="20"/>
                <w:szCs w:val="20"/>
              </w:rPr>
              <w:t>Ż</w:t>
            </w:r>
            <w:r>
              <w:rPr>
                <w:b/>
                <w:bCs/>
                <w:sz w:val="20"/>
                <w:szCs w:val="20"/>
              </w:rPr>
              <w:t>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KOMÓREK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C6387E" w:rsidRPr="007E3BCE" w14:paraId="56D71AE7" w14:textId="77777777" w:rsidTr="00AE5EF0">
        <w:trPr>
          <w:trHeight w:val="567"/>
        </w:trPr>
        <w:tc>
          <w:tcPr>
            <w:tcW w:w="15388" w:type="dxa"/>
            <w:gridSpan w:val="3"/>
            <w:vAlign w:val="center"/>
          </w:tcPr>
          <w:p w14:paraId="3CA3112F" w14:textId="0A4FAEDD" w:rsidR="00C6387E" w:rsidRDefault="00C6387E" w:rsidP="00AE5EF0">
            <w:pPr>
              <w:pStyle w:val="Akapitzlist"/>
              <w:autoSpaceDE w:val="0"/>
              <w:autoSpaceDN w:val="0"/>
              <w:adjustRightInd w:val="0"/>
              <w:ind w:left="10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  <w:r w:rsidR="00FC508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A.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Leczenie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chorych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na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chłoniaka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rozlanego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dużych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komórek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B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C5080">
              <w:rPr>
                <w:b/>
                <w:bCs/>
                <w:sz w:val="20"/>
                <w:szCs w:val="20"/>
              </w:rPr>
              <w:t>(DLBCL)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–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D07E59">
              <w:rPr>
                <w:b/>
                <w:bCs/>
                <w:sz w:val="20"/>
                <w:szCs w:val="20"/>
              </w:rPr>
              <w:t>t</w:t>
            </w:r>
            <w:r w:rsidR="00F328D6">
              <w:rPr>
                <w:b/>
                <w:bCs/>
                <w:sz w:val="20"/>
                <w:szCs w:val="20"/>
              </w:rPr>
              <w:t>erapia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zastosowaniem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D07E59">
              <w:rPr>
                <w:b/>
                <w:bCs/>
                <w:sz w:val="20"/>
                <w:szCs w:val="20"/>
              </w:rPr>
              <w:t>polatuzumabu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D07E59">
              <w:rPr>
                <w:b/>
                <w:bCs/>
                <w:sz w:val="20"/>
                <w:szCs w:val="20"/>
              </w:rPr>
              <w:t>wedotyny</w:t>
            </w:r>
          </w:p>
        </w:tc>
      </w:tr>
      <w:tr w:rsidR="00BF0462" w:rsidRPr="007E3BCE" w14:paraId="538C5FDC" w14:textId="77777777" w:rsidTr="00EB5DFC">
        <w:trPr>
          <w:trHeight w:val="20"/>
        </w:trPr>
        <w:tc>
          <w:tcPr>
            <w:tcW w:w="5665" w:type="dxa"/>
          </w:tcPr>
          <w:p w14:paraId="1FAAEF05" w14:textId="7622ED62" w:rsidR="00F328D6" w:rsidRPr="00D101EF" w:rsidRDefault="00F328D6" w:rsidP="00D101EF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D101EF">
              <w:rPr>
                <w:color w:val="000000"/>
                <w:sz w:val="20"/>
                <w:szCs w:val="20"/>
              </w:rPr>
              <w:t>W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ramach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części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I</w:t>
            </w:r>
            <w:r w:rsidR="00FC5080" w:rsidRPr="00D101EF">
              <w:rPr>
                <w:color w:val="000000"/>
                <w:sz w:val="20"/>
                <w:szCs w:val="20"/>
              </w:rPr>
              <w:t>II.A</w:t>
            </w:r>
            <w:r w:rsidRPr="00D101EF">
              <w:rPr>
                <w:color w:val="000000"/>
                <w:sz w:val="20"/>
                <w:szCs w:val="20"/>
              </w:rPr>
              <w:t>.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programu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lekowego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chorym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na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opornego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lub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nawrotowego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chłoniaka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rozlanego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z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dużych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komórek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B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C5080" w:rsidRPr="00D101EF">
              <w:rPr>
                <w:sz w:val="20"/>
                <w:szCs w:val="20"/>
              </w:rPr>
              <w:t>(DLBCL)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udostępnia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się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color w:val="000000"/>
                <w:sz w:val="20"/>
                <w:szCs w:val="20"/>
              </w:rPr>
              <w:t>terapię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polatuzumabem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wedotyny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w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skojarzeniu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z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bendamustyną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i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FC5080" w:rsidRPr="00D101EF">
              <w:rPr>
                <w:color w:val="000000"/>
                <w:sz w:val="20"/>
                <w:szCs w:val="20"/>
              </w:rPr>
              <w:t>rytuksymabem</w:t>
            </w:r>
            <w:r w:rsidRPr="00D101EF">
              <w:rPr>
                <w:color w:val="000000"/>
                <w:sz w:val="20"/>
                <w:szCs w:val="20"/>
              </w:rPr>
              <w:t>,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zgodnie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ze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wskazanymi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w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opisie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programu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warunkami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i</w:t>
            </w:r>
            <w:r w:rsidR="00C62CE7" w:rsidRPr="00D101EF">
              <w:rPr>
                <w:sz w:val="20"/>
                <w:szCs w:val="20"/>
                <w:u w:val="single"/>
              </w:rPr>
              <w:t xml:space="preserve"> </w:t>
            </w:r>
            <w:r w:rsidRPr="00D101EF">
              <w:rPr>
                <w:sz w:val="20"/>
                <w:szCs w:val="20"/>
                <w:u w:val="single"/>
              </w:rPr>
              <w:t>kryteriami.</w:t>
            </w:r>
          </w:p>
          <w:p w14:paraId="29CEF192" w14:textId="77777777" w:rsidR="00F328D6" w:rsidRPr="00AE5EF0" w:rsidRDefault="00F328D6" w:rsidP="00AE5EF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  <w:p w14:paraId="2EB5CD6E" w14:textId="6BE74C09" w:rsidR="007E6DE4" w:rsidRPr="00AE5EF0" w:rsidRDefault="007E6DE4" w:rsidP="00AE5EF0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7F838005" w14:textId="737DF0F7" w:rsidR="00FC5080" w:rsidRPr="00AE5EF0" w:rsidRDefault="007D191B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potwierdzony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histologicznie</w:t>
            </w:r>
            <w:r w:rsidR="00C62CE7">
              <w:rPr>
                <w:sz w:val="20"/>
                <w:szCs w:val="20"/>
              </w:rPr>
              <w:t xml:space="preserve"> </w:t>
            </w:r>
            <w:r w:rsidR="00E844D1" w:rsidRPr="00AE5EF0">
              <w:rPr>
                <w:sz w:val="20"/>
                <w:szCs w:val="20"/>
              </w:rPr>
              <w:t>chłoniak</w:t>
            </w:r>
            <w:r w:rsidR="00C62CE7">
              <w:rPr>
                <w:sz w:val="20"/>
                <w:szCs w:val="20"/>
              </w:rPr>
              <w:t xml:space="preserve"> </w:t>
            </w:r>
            <w:r w:rsidR="00FC5080" w:rsidRPr="00AE5EF0">
              <w:rPr>
                <w:sz w:val="20"/>
                <w:szCs w:val="20"/>
              </w:rPr>
              <w:t>rozlany</w:t>
            </w:r>
            <w:r w:rsidR="00C62CE7">
              <w:rPr>
                <w:sz w:val="20"/>
                <w:szCs w:val="20"/>
              </w:rPr>
              <w:t xml:space="preserve"> </w:t>
            </w:r>
            <w:r w:rsidR="00FC5080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FC5080" w:rsidRPr="00AE5EF0">
              <w:rPr>
                <w:sz w:val="20"/>
                <w:szCs w:val="20"/>
              </w:rPr>
              <w:t>dużych</w:t>
            </w:r>
            <w:r w:rsidR="00C62CE7">
              <w:rPr>
                <w:sz w:val="20"/>
                <w:szCs w:val="20"/>
              </w:rPr>
              <w:t xml:space="preserve"> </w:t>
            </w:r>
            <w:r w:rsidR="00FC5080" w:rsidRPr="00AE5EF0">
              <w:rPr>
                <w:sz w:val="20"/>
                <w:szCs w:val="20"/>
              </w:rPr>
              <w:t>komórek</w:t>
            </w:r>
            <w:r w:rsidR="00C62CE7">
              <w:rPr>
                <w:sz w:val="20"/>
                <w:szCs w:val="20"/>
              </w:rPr>
              <w:t xml:space="preserve"> </w:t>
            </w:r>
            <w:r w:rsidR="00FC5080" w:rsidRPr="00AE5EF0">
              <w:rPr>
                <w:sz w:val="20"/>
                <w:szCs w:val="20"/>
              </w:rPr>
              <w:t>B</w:t>
            </w:r>
            <w:r w:rsidR="00C62CE7">
              <w:rPr>
                <w:sz w:val="20"/>
                <w:szCs w:val="20"/>
              </w:rPr>
              <w:t xml:space="preserve"> </w:t>
            </w:r>
            <w:r w:rsidR="00FC5080" w:rsidRPr="00AE5EF0">
              <w:rPr>
                <w:sz w:val="20"/>
                <w:szCs w:val="20"/>
              </w:rPr>
              <w:t>(DLBCL);</w:t>
            </w:r>
          </w:p>
          <w:p w14:paraId="1C7EEA48" w14:textId="3EF1C9EC" w:rsidR="00EB0501" w:rsidRPr="00AE5EF0" w:rsidRDefault="00EB0501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18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lat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powyżej;</w:t>
            </w:r>
          </w:p>
          <w:p w14:paraId="4BEE9416" w14:textId="458926A5" w:rsidR="00EB0501" w:rsidRPr="00AE5EF0" w:rsidRDefault="00EB0501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stan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sprawności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według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ECOG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0-2;</w:t>
            </w:r>
          </w:p>
          <w:p w14:paraId="14031526" w14:textId="50F25590" w:rsidR="00A32C23" w:rsidRPr="00AE5EF0" w:rsidRDefault="00D07E59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nawrót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oporność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wcześniejsze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leczenie;</w:t>
            </w:r>
          </w:p>
          <w:p w14:paraId="139E478E" w14:textId="1CDD8339" w:rsidR="00D07E59" w:rsidRPr="00AE5EF0" w:rsidRDefault="00D07E59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zastosowanie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wcześniej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1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linii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leczenia;</w:t>
            </w:r>
          </w:p>
          <w:p w14:paraId="0C94FB11" w14:textId="77777777" w:rsidR="00D101EF" w:rsidRDefault="004D4744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101EF">
              <w:rPr>
                <w:sz w:val="20"/>
                <w:szCs w:val="20"/>
              </w:rPr>
              <w:t>przeciw</w:t>
            </w:r>
            <w:r w:rsidR="00755D68" w:rsidRPr="00D101EF">
              <w:rPr>
                <w:sz w:val="20"/>
                <w:szCs w:val="20"/>
              </w:rPr>
              <w:t>w</w:t>
            </w:r>
            <w:r w:rsidRPr="00D101EF">
              <w:rPr>
                <w:sz w:val="20"/>
                <w:szCs w:val="20"/>
              </w:rPr>
              <w:t>skazania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E844D1" w:rsidRPr="00D101EF">
              <w:rPr>
                <w:sz w:val="20"/>
                <w:szCs w:val="20"/>
              </w:rPr>
              <w:t>przeszczepienia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E844D1" w:rsidRPr="00D101EF">
              <w:rPr>
                <w:sz w:val="20"/>
                <w:szCs w:val="20"/>
              </w:rPr>
              <w:t>krwiotwórczych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E844D1" w:rsidRPr="00D101EF">
              <w:rPr>
                <w:sz w:val="20"/>
                <w:szCs w:val="20"/>
              </w:rPr>
              <w:t>komórek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E844D1" w:rsidRPr="00D101EF">
              <w:rPr>
                <w:sz w:val="20"/>
                <w:szCs w:val="20"/>
              </w:rPr>
              <w:t>macierzystych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momencie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kwalifikacji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programu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F659EC" w:rsidRPr="00D101EF">
              <w:rPr>
                <w:sz w:val="20"/>
                <w:szCs w:val="20"/>
              </w:rPr>
              <w:t>lekowego</w:t>
            </w:r>
            <w:r w:rsidR="00E844D1" w:rsidRPr="00D101EF">
              <w:rPr>
                <w:sz w:val="20"/>
                <w:szCs w:val="20"/>
              </w:rPr>
              <w:t>;</w:t>
            </w:r>
          </w:p>
          <w:p w14:paraId="5747FAAB" w14:textId="0589A53E" w:rsidR="00FD7DFE" w:rsidRPr="00D101EF" w:rsidRDefault="00FD7DFE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101EF">
              <w:rPr>
                <w:sz w:val="20"/>
                <w:szCs w:val="20"/>
              </w:rPr>
              <w:t>brak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przeciwwskazań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do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stosowania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leku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zgodnie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z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aktualną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na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dzień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wydania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decyzji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Charakterystyką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Produktu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Pr="00D101EF">
              <w:rPr>
                <w:sz w:val="20"/>
                <w:szCs w:val="20"/>
              </w:rPr>
              <w:t>Leczniczego</w:t>
            </w:r>
            <w:r w:rsidR="00D07E59" w:rsidRPr="00D101EF">
              <w:rPr>
                <w:sz w:val="20"/>
                <w:szCs w:val="20"/>
              </w:rPr>
              <w:t>,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w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tym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color w:val="000000"/>
                <w:sz w:val="20"/>
                <w:szCs w:val="20"/>
              </w:rPr>
              <w:t>nieobecność</w:t>
            </w:r>
            <w:r w:rsidR="00C62CE7" w:rsidRPr="00D101EF">
              <w:rPr>
                <w:color w:val="000000"/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neuropatii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obwodowej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≥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2</w:t>
            </w:r>
            <w:r w:rsidR="00C62CE7" w:rsidRPr="00D101EF">
              <w:rPr>
                <w:sz w:val="20"/>
                <w:szCs w:val="20"/>
              </w:rPr>
              <w:t xml:space="preserve"> </w:t>
            </w:r>
            <w:r w:rsidR="00D07E59" w:rsidRPr="00D101EF">
              <w:rPr>
                <w:sz w:val="20"/>
                <w:szCs w:val="20"/>
              </w:rPr>
              <w:t>stopnia</w:t>
            </w:r>
            <w:r w:rsidRPr="00D101EF">
              <w:rPr>
                <w:sz w:val="20"/>
                <w:szCs w:val="20"/>
              </w:rPr>
              <w:t>;</w:t>
            </w:r>
          </w:p>
          <w:p w14:paraId="4CB28EC7" w14:textId="779D9659" w:rsidR="00FD7DFE" w:rsidRPr="00AE5EF0" w:rsidRDefault="00FD7DFE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brak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nadwrażliwości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którykolwiek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białka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mysie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którąkolwiek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substancję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pomocniczą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leku;</w:t>
            </w:r>
          </w:p>
          <w:p w14:paraId="7635F1AB" w14:textId="58276F8D" w:rsidR="00FD7DFE" w:rsidRPr="00AE5EF0" w:rsidRDefault="00FD7DFE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nieobecność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aktywnych,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ciężkich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zakażeń;</w:t>
            </w:r>
          </w:p>
          <w:p w14:paraId="70D6AC63" w14:textId="44BAC2F6" w:rsidR="00FD7DFE" w:rsidRPr="00AE5EF0" w:rsidRDefault="00FD7DFE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nieobecność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istotnych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schorzeń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współistniejących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stanowiących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przeciwwskazanie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terapii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stwierdzonych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przez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lekarza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prowadzącego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oparciu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odpowiednie,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aktualne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dzień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wydania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decyzji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Charakterystyki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Produktu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Leczniczego;</w:t>
            </w:r>
          </w:p>
          <w:p w14:paraId="1C2762C9" w14:textId="153B022E" w:rsidR="00D07E59" w:rsidRPr="00AE5EF0" w:rsidRDefault="00FD7DFE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color w:val="000000"/>
                <w:sz w:val="20"/>
                <w:szCs w:val="20"/>
              </w:rPr>
              <w:t>adekwatna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wydolność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narządowa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określona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na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podstawie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wyników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badań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laboratoryjnych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krwi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umożliwiająca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opinii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lekarza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prowadzącego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bezpieczne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rozpoczęcie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Pr="00AE5EF0">
              <w:rPr>
                <w:color w:val="000000"/>
                <w:sz w:val="20"/>
                <w:szCs w:val="20"/>
              </w:rPr>
              <w:t>terapii</w:t>
            </w:r>
            <w:r w:rsidR="00D07E59" w:rsidRPr="00AE5EF0">
              <w:rPr>
                <w:color w:val="000000"/>
                <w:sz w:val="20"/>
                <w:szCs w:val="20"/>
              </w:rPr>
              <w:t>,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D07E59" w:rsidRPr="00AE5EF0">
              <w:rPr>
                <w:color w:val="000000"/>
                <w:sz w:val="20"/>
                <w:szCs w:val="20"/>
              </w:rPr>
              <w:t>w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D07E59" w:rsidRPr="00AE5EF0">
              <w:rPr>
                <w:color w:val="000000"/>
                <w:sz w:val="20"/>
                <w:szCs w:val="20"/>
              </w:rPr>
              <w:t>tym</w:t>
            </w:r>
            <w:r w:rsidR="00C62CE7">
              <w:rPr>
                <w:color w:val="000000"/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≤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1,5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razy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GGN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(górna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granica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normy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dla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danego</w:t>
            </w:r>
            <w:r w:rsidR="00C62CE7"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laboratorium);</w:t>
            </w:r>
          </w:p>
          <w:p w14:paraId="1ADA8761" w14:textId="0131C333" w:rsidR="00D07E59" w:rsidRPr="00AE5EF0" w:rsidRDefault="00C62CE7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wykluczenie</w:t>
            </w:r>
            <w:r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ciąży</w:t>
            </w:r>
            <w:r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okresu</w:t>
            </w:r>
            <w:r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karmienia</w:t>
            </w:r>
            <w:r>
              <w:rPr>
                <w:sz w:val="20"/>
                <w:szCs w:val="20"/>
              </w:rPr>
              <w:t xml:space="preserve"> </w:t>
            </w:r>
            <w:r w:rsidR="00D07E59" w:rsidRPr="00AE5EF0">
              <w:rPr>
                <w:sz w:val="20"/>
                <w:szCs w:val="20"/>
              </w:rPr>
              <w:t>piersią;</w:t>
            </w:r>
          </w:p>
          <w:p w14:paraId="4C8842C5" w14:textId="37E3B754" w:rsidR="00D07E59" w:rsidRPr="00AE5EF0" w:rsidRDefault="00D07E59" w:rsidP="00D101EF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zgoda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stosowanie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skutecznych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metod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zapobiegania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trakcie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terapii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zakończeniu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informacjami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zawartymi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aktualnej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dzień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decyzji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Charakterystyce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Produktu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Leczniczego.</w:t>
            </w:r>
          </w:p>
          <w:p w14:paraId="688EC5F4" w14:textId="619EB2EE" w:rsidR="007E6DE4" w:rsidRDefault="007E6DE4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</w:rPr>
              <w:t>Kryteria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kwalifikacji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muszą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być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spełnione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łącznie.</w:t>
            </w:r>
          </w:p>
          <w:p w14:paraId="20434BC0" w14:textId="77777777" w:rsidR="00107B9A" w:rsidRPr="00107B9A" w:rsidRDefault="00107B9A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F7F209D" w14:textId="070A490E" w:rsidR="00BF0462" w:rsidRPr="00107B9A" w:rsidRDefault="007E6DE4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</w:rPr>
              <w:t>Ponadto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programu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lekowego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kwalifikowani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są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również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pacjenci,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którzy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byli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leczeni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ramach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innego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sposobu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finansowania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terapii,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pod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warunkiem,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że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chwili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rozpoczęcia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leczenia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spełniali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kryteria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kwalifikacji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programu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lekowego.</w:t>
            </w:r>
          </w:p>
          <w:p w14:paraId="23A93103" w14:textId="77777777" w:rsidR="007E6DE4" w:rsidRPr="00AE5EF0" w:rsidRDefault="007E6DE4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6B76999" w14:textId="7D8C0473" w:rsidR="007E6DE4" w:rsidRPr="00AE5EF0" w:rsidRDefault="007E6DE4" w:rsidP="00107B9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Określenie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czasu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programie</w:t>
            </w:r>
          </w:p>
          <w:p w14:paraId="39EFE85C" w14:textId="2117C005" w:rsidR="00FC5080" w:rsidRPr="00107B9A" w:rsidRDefault="00FC5080" w:rsidP="00107B9A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</w:rPr>
              <w:t>Leczenie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trwa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czasu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podjęcia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przez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lekarza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prowadzącego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decyzji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wyłączeniu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świadczeniobiorcy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programu,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zgodnie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kryteriami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wyłączenia,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jednak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zastrzeżeniem,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iż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</w:t>
            </w:r>
            <w:r w:rsidRPr="00107B9A">
              <w:rPr>
                <w:bCs/>
                <w:sz w:val="20"/>
                <w:szCs w:val="20"/>
              </w:rPr>
              <w:t>eczenie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polatuzumabem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wedotyny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w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skojarzeniu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z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bendamustyną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i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="00FD7DFE" w:rsidRPr="00107B9A">
              <w:rPr>
                <w:bCs/>
                <w:sz w:val="20"/>
                <w:szCs w:val="20"/>
              </w:rPr>
              <w:t>rytuksymabem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Pr="00107B9A">
              <w:rPr>
                <w:bCs/>
                <w:sz w:val="20"/>
                <w:szCs w:val="20"/>
              </w:rPr>
              <w:t>kontynuuje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Pr="00107B9A">
              <w:rPr>
                <w:bCs/>
                <w:sz w:val="20"/>
                <w:szCs w:val="20"/>
              </w:rPr>
              <w:t>się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Pr="00107B9A">
              <w:rPr>
                <w:bCs/>
                <w:sz w:val="20"/>
                <w:szCs w:val="20"/>
              </w:rPr>
              <w:t>do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Pr="00107B9A">
              <w:rPr>
                <w:bCs/>
                <w:sz w:val="20"/>
                <w:szCs w:val="20"/>
              </w:rPr>
              <w:t>maksymalnie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Pr="00107B9A">
              <w:rPr>
                <w:bCs/>
                <w:sz w:val="20"/>
                <w:szCs w:val="20"/>
              </w:rPr>
              <w:t>6</w:t>
            </w:r>
            <w:r w:rsidR="00C62CE7" w:rsidRPr="00107B9A">
              <w:rPr>
                <w:bCs/>
                <w:sz w:val="20"/>
                <w:szCs w:val="20"/>
              </w:rPr>
              <w:t xml:space="preserve"> </w:t>
            </w:r>
            <w:r w:rsidRPr="00107B9A">
              <w:rPr>
                <w:bCs/>
                <w:sz w:val="20"/>
                <w:szCs w:val="20"/>
              </w:rPr>
              <w:t>cykli.</w:t>
            </w:r>
          </w:p>
          <w:p w14:paraId="51523A31" w14:textId="77777777" w:rsidR="007E6DE4" w:rsidRPr="00AE5EF0" w:rsidRDefault="007E6DE4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A8F3900" w14:textId="37C815F2" w:rsidR="007E6DE4" w:rsidRPr="00AE5EF0" w:rsidRDefault="007E6DE4" w:rsidP="00107B9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wyłączenia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programu</w:t>
            </w:r>
          </w:p>
          <w:p w14:paraId="438A8E9D" w14:textId="524C0AD5" w:rsidR="007E6DE4" w:rsidRPr="00AE5EF0" w:rsidRDefault="007E6DE4" w:rsidP="00107B9A">
            <w:pPr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progresja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="00472439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472439" w:rsidRPr="00AE5EF0">
              <w:rPr>
                <w:sz w:val="20"/>
                <w:szCs w:val="20"/>
              </w:rPr>
              <w:t>trakcie</w:t>
            </w:r>
            <w:r w:rsidR="00C62CE7">
              <w:rPr>
                <w:sz w:val="20"/>
                <w:szCs w:val="20"/>
              </w:rPr>
              <w:t xml:space="preserve"> </w:t>
            </w:r>
            <w:r w:rsidR="00472439" w:rsidRPr="00AE5EF0">
              <w:rPr>
                <w:sz w:val="20"/>
                <w:szCs w:val="20"/>
              </w:rPr>
              <w:t>leczenia;</w:t>
            </w:r>
          </w:p>
          <w:p w14:paraId="6931AB2A" w14:textId="3FD31661" w:rsidR="00472439" w:rsidRPr="00AE5EF0" w:rsidRDefault="00472439" w:rsidP="00107B9A">
            <w:pPr>
              <w:pStyle w:val="Akapitzlist"/>
              <w:numPr>
                <w:ilvl w:val="3"/>
                <w:numId w:val="3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wystąpienie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objawów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nadwrażliwości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którykolwiek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ze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stosowanych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leków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białka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mysie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którąkolwiek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substancję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pomocniczą</w:t>
            </w:r>
            <w:r w:rsidR="00C62CE7">
              <w:rPr>
                <w:sz w:val="20"/>
                <w:szCs w:val="20"/>
              </w:rPr>
              <w:t xml:space="preserve"> </w:t>
            </w:r>
            <w:r w:rsidR="00FD7DFE" w:rsidRPr="00AE5EF0">
              <w:rPr>
                <w:sz w:val="20"/>
                <w:szCs w:val="20"/>
              </w:rPr>
              <w:t>leku</w:t>
            </w:r>
            <w:r w:rsidRPr="00AE5EF0">
              <w:rPr>
                <w:sz w:val="20"/>
                <w:szCs w:val="20"/>
              </w:rPr>
              <w:t>;</w:t>
            </w:r>
          </w:p>
          <w:p w14:paraId="196D4A87" w14:textId="71EAE31D" w:rsidR="00FD7DFE" w:rsidRPr="00AE5EF0" w:rsidRDefault="00FD7DFE" w:rsidP="00107B9A">
            <w:pPr>
              <w:pStyle w:val="Akapitzlist"/>
              <w:numPr>
                <w:ilvl w:val="3"/>
                <w:numId w:val="3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stwierdzenie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nieakceptowalnej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toksyczności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pomimo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zastosowania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zaleceń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dotyczących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modyfikacji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dawkowania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zaleceniami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odpowiedniej,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aktualnej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dzień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decyzji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Charakterystyki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Produktu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Leczniczego;</w:t>
            </w:r>
          </w:p>
          <w:p w14:paraId="523A86BB" w14:textId="6FE02507" w:rsidR="00FD7DFE" w:rsidRPr="00AE5EF0" w:rsidRDefault="00FD7DFE" w:rsidP="00107B9A">
            <w:pPr>
              <w:pStyle w:val="Akapitzlist"/>
              <w:numPr>
                <w:ilvl w:val="3"/>
                <w:numId w:val="3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rozpoznanie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postępującej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wieloogniskowej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leukoencefalopatii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(PML);</w:t>
            </w:r>
          </w:p>
          <w:p w14:paraId="0DF35FC0" w14:textId="048D15A8" w:rsidR="00FD7DFE" w:rsidRPr="00AE5EF0" w:rsidRDefault="00FD7DFE" w:rsidP="00107B9A">
            <w:pPr>
              <w:pStyle w:val="Akapitzlist"/>
              <w:numPr>
                <w:ilvl w:val="3"/>
                <w:numId w:val="3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pogorszenie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stanu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istotnym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znaczeniu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według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lekarza</w:t>
            </w:r>
            <w:r w:rsidR="00107B9A">
              <w:rPr>
                <w:sz w:val="20"/>
                <w:szCs w:val="20"/>
              </w:rPr>
              <w:t>;</w:t>
            </w:r>
          </w:p>
          <w:p w14:paraId="544F205C" w14:textId="68E4110D" w:rsidR="00D07E59" w:rsidRPr="00AE5EF0" w:rsidRDefault="00D07E59" w:rsidP="00107B9A">
            <w:pPr>
              <w:pStyle w:val="Akapitzlist"/>
              <w:numPr>
                <w:ilvl w:val="3"/>
                <w:numId w:val="3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ciąża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karmienie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piersią;</w:t>
            </w:r>
          </w:p>
          <w:p w14:paraId="7A99505F" w14:textId="10B5C975" w:rsidR="00D07E59" w:rsidRPr="00AE5EF0" w:rsidRDefault="00D07E59" w:rsidP="00107B9A">
            <w:pPr>
              <w:pStyle w:val="Akapitzlist"/>
              <w:numPr>
                <w:ilvl w:val="3"/>
                <w:numId w:val="3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rezygnacja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pacjenta.</w:t>
            </w:r>
          </w:p>
          <w:p w14:paraId="6CDCCDCF" w14:textId="4E300791" w:rsidR="00EB0501" w:rsidRPr="00AE5EF0" w:rsidRDefault="00EB0501" w:rsidP="00AE5EF0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14:paraId="7BE37312" w14:textId="3C2C9913" w:rsidR="00507469" w:rsidRPr="00AE5EF0" w:rsidRDefault="00507469" w:rsidP="00107B9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Dawkowanie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EB0501" w:rsidRPr="00AE5EF0">
              <w:rPr>
                <w:b/>
                <w:bCs/>
                <w:sz w:val="20"/>
                <w:szCs w:val="20"/>
              </w:rPr>
              <w:t>leków</w:t>
            </w:r>
          </w:p>
          <w:p w14:paraId="06F5CE21" w14:textId="548C9722" w:rsidR="00507469" w:rsidRPr="00107B9A" w:rsidRDefault="00507469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  <w:u w:val="single"/>
              </w:rPr>
              <w:t>Polatuzumab</w:t>
            </w:r>
            <w:r w:rsidR="00C62CE7" w:rsidRPr="00107B9A">
              <w:rPr>
                <w:sz w:val="20"/>
                <w:szCs w:val="20"/>
                <w:u w:val="single"/>
              </w:rPr>
              <w:t xml:space="preserve"> </w:t>
            </w:r>
            <w:r w:rsidRPr="00107B9A">
              <w:rPr>
                <w:sz w:val="20"/>
                <w:szCs w:val="20"/>
                <w:u w:val="single"/>
              </w:rPr>
              <w:t>wedotyny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dawce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1,8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mg/kg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mc.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podawany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jest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infuzji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dożylnej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21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dni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skojarzeniu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bendamustyną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rytuksymabem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przez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6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cykli.</w:t>
            </w:r>
            <w:r w:rsidR="00C62CE7" w:rsidRPr="00107B9A">
              <w:rPr>
                <w:sz w:val="20"/>
                <w:szCs w:val="20"/>
              </w:rPr>
              <w:t xml:space="preserve"> </w:t>
            </w:r>
          </w:p>
          <w:p w14:paraId="1EF16EF4" w14:textId="081B441E" w:rsidR="00507469" w:rsidRPr="00107B9A" w:rsidRDefault="00507469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</w:rPr>
              <w:t>Polatuzumab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wedotyny,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bendamustyna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rytuksymab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mogą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być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podawane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dowolnej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kolejności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1.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dniu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każdego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cyklu.</w:t>
            </w:r>
            <w:r w:rsidR="00C62CE7" w:rsidRPr="00107B9A">
              <w:rPr>
                <w:sz w:val="20"/>
                <w:szCs w:val="20"/>
              </w:rPr>
              <w:t xml:space="preserve"> </w:t>
            </w:r>
          </w:p>
          <w:p w14:paraId="3096623D" w14:textId="3BB940B2" w:rsidR="008D0C52" w:rsidRPr="00107B9A" w:rsidRDefault="008D0C52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</w:rPr>
              <w:t>Zaleca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się,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aby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nie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przekraczać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dawki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polatuzumabu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wedotyny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powyżej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240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mg/cykl.</w:t>
            </w:r>
          </w:p>
          <w:p w14:paraId="5EF98B37" w14:textId="53BB47BB" w:rsidR="003E5E87" w:rsidRPr="00107B9A" w:rsidRDefault="003E5E87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  <w:u w:val="single"/>
              </w:rPr>
              <w:t>B</w:t>
            </w:r>
            <w:r w:rsidR="00507469" w:rsidRPr="00107B9A">
              <w:rPr>
                <w:sz w:val="20"/>
                <w:szCs w:val="20"/>
                <w:u w:val="single"/>
              </w:rPr>
              <w:t>endamustyn</w:t>
            </w:r>
            <w:r w:rsidRPr="00107B9A">
              <w:rPr>
                <w:sz w:val="20"/>
                <w:szCs w:val="20"/>
                <w:u w:val="single"/>
              </w:rPr>
              <w:t>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–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zalecana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dawka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wynosi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90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mg/m</w:t>
            </w:r>
            <w:r w:rsidR="00507469" w:rsidRPr="00107B9A">
              <w:rPr>
                <w:sz w:val="20"/>
                <w:szCs w:val="20"/>
                <w:vertAlign w:val="superscript"/>
              </w:rPr>
              <w:t>2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4111CC" w:rsidRPr="00107B9A">
              <w:rPr>
                <w:sz w:val="20"/>
                <w:szCs w:val="20"/>
              </w:rPr>
              <w:t>pc. /</w:t>
            </w:r>
            <w:r w:rsidR="00507469" w:rsidRPr="00107B9A">
              <w:rPr>
                <w:sz w:val="20"/>
                <w:szCs w:val="20"/>
              </w:rPr>
              <w:t>dobę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1.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2.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dniu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każdego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cyklu</w:t>
            </w:r>
            <w:r w:rsidRPr="00107B9A">
              <w:rPr>
                <w:sz w:val="20"/>
                <w:szCs w:val="20"/>
              </w:rPr>
              <w:t>.</w:t>
            </w:r>
          </w:p>
          <w:p w14:paraId="2F3A4B80" w14:textId="1C4CC6CB" w:rsidR="00507469" w:rsidRPr="00107B9A" w:rsidRDefault="003E5E87" w:rsidP="00107B9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  <w:u w:val="single"/>
              </w:rPr>
              <w:t>Rytuksymab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–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zalecana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dawka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rytuksymabu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wynosi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375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mg/m</w:t>
            </w:r>
            <w:r w:rsidR="00507469" w:rsidRPr="00107B9A">
              <w:rPr>
                <w:sz w:val="20"/>
                <w:szCs w:val="20"/>
                <w:vertAlign w:val="superscript"/>
              </w:rPr>
              <w:t>2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pc.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1.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dniu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każdego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07469" w:rsidRPr="00107B9A">
              <w:rPr>
                <w:sz w:val="20"/>
                <w:szCs w:val="20"/>
              </w:rPr>
              <w:t>cyklu.</w:t>
            </w:r>
            <w:r w:rsidR="00C62CE7" w:rsidRPr="00107B9A">
              <w:rPr>
                <w:sz w:val="20"/>
                <w:szCs w:val="20"/>
              </w:rPr>
              <w:t xml:space="preserve"> </w:t>
            </w:r>
          </w:p>
          <w:p w14:paraId="70922737" w14:textId="31F74D76" w:rsidR="00507469" w:rsidRPr="00AE5EF0" w:rsidRDefault="00507469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CC9FD08" w14:textId="16168AA8" w:rsidR="003E5E87" w:rsidRPr="00AE5EF0" w:rsidRDefault="003E5E87" w:rsidP="00107B9A">
            <w:pPr>
              <w:pStyle w:val="Akapitzlist"/>
              <w:numPr>
                <w:ilvl w:val="0"/>
                <w:numId w:val="43"/>
              </w:numPr>
              <w:tabs>
                <w:tab w:val="left" w:pos="1095"/>
              </w:tabs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Modyfikacja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dawkowania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leków</w:t>
            </w:r>
          </w:p>
          <w:p w14:paraId="7BFD0819" w14:textId="23ECA09C" w:rsidR="003E5E87" w:rsidRPr="00107B9A" w:rsidRDefault="00C3390F" w:rsidP="00107B9A">
            <w:pPr>
              <w:tabs>
                <w:tab w:val="left" w:pos="1095"/>
              </w:tabs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107B9A">
              <w:rPr>
                <w:sz w:val="20"/>
                <w:szCs w:val="20"/>
              </w:rPr>
              <w:t>Modyfikacja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dawkowania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zgodnie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aktualną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na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dzień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wydania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decyzji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Charakterystyką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Produktu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Leczniczego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odpowiedniego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leku.</w:t>
            </w:r>
            <w:r w:rsidR="00C62CE7" w:rsidRPr="00107B9A">
              <w:rPr>
                <w:sz w:val="20"/>
                <w:szCs w:val="20"/>
              </w:rPr>
              <w:t xml:space="preserve"> </w:t>
            </w:r>
          </w:p>
          <w:p w14:paraId="6DD0819F" w14:textId="5274255B" w:rsidR="00AE39F6" w:rsidRPr="00AE5EF0" w:rsidRDefault="00AE39F6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</w:tcPr>
          <w:p w14:paraId="48ED0EFB" w14:textId="3DF71408" w:rsidR="004F67EB" w:rsidRPr="00AE5EF0" w:rsidRDefault="004F67EB" w:rsidP="00107B9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Badania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przy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742918BF" w14:textId="69BADD54" w:rsidR="004F67EB" w:rsidRPr="00AE5EF0" w:rsidRDefault="004F67EB" w:rsidP="00107B9A">
            <w:pPr>
              <w:numPr>
                <w:ilvl w:val="3"/>
                <w:numId w:val="4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1F515D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1F515D"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1F515D" w:rsidRPr="00AE5EF0">
              <w:rPr>
                <w:sz w:val="20"/>
                <w:szCs w:val="20"/>
              </w:rPr>
              <w:t>(</w:t>
            </w:r>
            <w:r w:rsidRPr="00AE5EF0">
              <w:rPr>
                <w:sz w:val="20"/>
                <w:szCs w:val="20"/>
              </w:rPr>
              <w:t>wzorem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odsetkowym</w:t>
            </w:r>
            <w:r w:rsidR="001F515D" w:rsidRPr="00AE5EF0">
              <w:rPr>
                <w:sz w:val="20"/>
                <w:szCs w:val="20"/>
              </w:rPr>
              <w:t>)</w:t>
            </w:r>
            <w:r w:rsidRPr="00AE5EF0">
              <w:rPr>
                <w:sz w:val="20"/>
                <w:szCs w:val="20"/>
              </w:rPr>
              <w:t>;</w:t>
            </w:r>
          </w:p>
          <w:p w14:paraId="1BC46C2E" w14:textId="6BA5E0A6" w:rsidR="004F67EB" w:rsidRPr="00AE5EF0" w:rsidRDefault="004F67EB" w:rsidP="00107B9A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wydolności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eGFR,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kwasu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moczowego,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AST,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całkowitej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surowicy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krwi);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07D81E59" w14:textId="4DFC1641" w:rsidR="004F67EB" w:rsidRPr="00AE5EF0" w:rsidRDefault="004F67EB" w:rsidP="00107B9A">
            <w:pPr>
              <w:numPr>
                <w:ilvl w:val="3"/>
                <w:numId w:val="4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obrazowe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pozwalające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stopnia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zaawansowania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PET-TK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NMR);</w:t>
            </w:r>
          </w:p>
          <w:p w14:paraId="150CC345" w14:textId="67E7A31C" w:rsidR="004F67EB" w:rsidRPr="00AE5EF0" w:rsidRDefault="004F67EB" w:rsidP="00107B9A">
            <w:pPr>
              <w:numPr>
                <w:ilvl w:val="3"/>
                <w:numId w:val="4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przesiewowe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kierunku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WZW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typu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zawierające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testy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kierunku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HbsAg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HbcAb,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dodatniego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wyniku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HbsAg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HBcAb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HBV-DNA;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25ABDF99" w14:textId="1AE155E7" w:rsidR="004F67EB" w:rsidRPr="00AE5EF0" w:rsidRDefault="004F67EB" w:rsidP="00107B9A">
            <w:pPr>
              <w:numPr>
                <w:ilvl w:val="3"/>
                <w:numId w:val="4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przesiewowe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kierunku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WZW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typu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zawierające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oznaczenie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przeciwciał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anty-HCV,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dodatniego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wyniku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obecność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przeciwciał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anty-HCV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HCV-RNA;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6E8E160A" w14:textId="3806BCEB" w:rsidR="004F67EB" w:rsidRPr="00AE5EF0" w:rsidRDefault="004F67EB" w:rsidP="00107B9A">
            <w:pPr>
              <w:numPr>
                <w:ilvl w:val="3"/>
                <w:numId w:val="4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test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ciążowy</w:t>
            </w:r>
            <w:r w:rsidR="00C62CE7">
              <w:rPr>
                <w:sz w:val="20"/>
                <w:szCs w:val="20"/>
              </w:rPr>
              <w:t xml:space="preserve"> </w:t>
            </w:r>
            <w:r w:rsidR="00EB0501" w:rsidRPr="00AE5EF0">
              <w:rPr>
                <w:sz w:val="20"/>
                <w:szCs w:val="20"/>
              </w:rPr>
              <w:t>(</w:t>
            </w:r>
            <w:r w:rsidRPr="00AE5EF0">
              <w:rPr>
                <w:sz w:val="20"/>
                <w:szCs w:val="20"/>
              </w:rPr>
              <w:t>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kobiet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wieku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rozrodczym</w:t>
            </w:r>
            <w:r w:rsidR="00EB0501" w:rsidRPr="00AE5EF0">
              <w:rPr>
                <w:sz w:val="20"/>
                <w:szCs w:val="20"/>
              </w:rPr>
              <w:t>)</w:t>
            </w:r>
            <w:r w:rsidR="00F06412" w:rsidRPr="00AE5EF0">
              <w:rPr>
                <w:sz w:val="20"/>
                <w:szCs w:val="20"/>
              </w:rPr>
              <w:t>.</w:t>
            </w:r>
          </w:p>
          <w:p w14:paraId="58A5AC50" w14:textId="7E20B72F" w:rsidR="004F67EB" w:rsidRPr="00107B9A" w:rsidRDefault="0081686E" w:rsidP="00107B9A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107B9A">
              <w:rPr>
                <w:sz w:val="20"/>
                <w:szCs w:val="20"/>
              </w:rPr>
              <w:t>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przypadku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lokalizacji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pozawęzłowej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chłoniaka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FE2193" w:rsidRPr="00107B9A">
              <w:rPr>
                <w:sz w:val="20"/>
                <w:szCs w:val="20"/>
              </w:rPr>
              <w:t>wykonanie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FE2193" w:rsidRPr="00107B9A">
              <w:rPr>
                <w:sz w:val="20"/>
                <w:szCs w:val="20"/>
              </w:rPr>
              <w:t>innych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badań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oceniających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zaawansowanie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chłoniaka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FE2193" w:rsidRPr="00107B9A">
              <w:rPr>
                <w:sz w:val="20"/>
                <w:szCs w:val="20"/>
              </w:rPr>
              <w:t>oprócz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FE2193" w:rsidRPr="00107B9A">
              <w:rPr>
                <w:sz w:val="20"/>
                <w:szCs w:val="20"/>
              </w:rPr>
              <w:t>badań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FE2193" w:rsidRPr="00107B9A">
              <w:rPr>
                <w:sz w:val="20"/>
                <w:szCs w:val="20"/>
              </w:rPr>
              <w:t>w/w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FE2193" w:rsidRPr="00107B9A">
              <w:rPr>
                <w:sz w:val="20"/>
                <w:szCs w:val="20"/>
              </w:rPr>
              <w:t>-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do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decyzji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lekarza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prowadzącego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(badania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endoskopowe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lub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D929CC" w:rsidRPr="00107B9A">
              <w:rPr>
                <w:sz w:val="20"/>
                <w:szCs w:val="20"/>
              </w:rPr>
              <w:t>inne)</w:t>
            </w:r>
            <w:r w:rsidR="00F06412" w:rsidRPr="00107B9A">
              <w:rPr>
                <w:sz w:val="20"/>
                <w:szCs w:val="20"/>
              </w:rPr>
              <w:t>.</w:t>
            </w:r>
          </w:p>
          <w:p w14:paraId="1A5BA71A" w14:textId="77777777" w:rsidR="00F06412" w:rsidRPr="00AE5EF0" w:rsidRDefault="00F06412" w:rsidP="00AE5EF0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6D060D6" w14:textId="22DD62C4" w:rsidR="004F67EB" w:rsidRPr="00AE5EF0" w:rsidRDefault="004F67EB" w:rsidP="00107B9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Monitorowanie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453BDEE6" w14:textId="4983D186" w:rsidR="00EB0501" w:rsidRPr="00AE5EF0" w:rsidRDefault="00EB0501" w:rsidP="00107B9A">
            <w:pPr>
              <w:pStyle w:val="Akapitzlist"/>
              <w:numPr>
                <w:ilvl w:val="3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</w:t>
            </w:r>
            <w:r w:rsidR="004F67EB" w:rsidRPr="00AE5EF0">
              <w:rPr>
                <w:sz w:val="20"/>
                <w:szCs w:val="20"/>
              </w:rPr>
              <w:t>adania</w:t>
            </w:r>
            <w:r w:rsidR="00C62CE7">
              <w:rPr>
                <w:sz w:val="20"/>
                <w:szCs w:val="20"/>
              </w:rPr>
              <w:t xml:space="preserve"> </w:t>
            </w:r>
            <w:r w:rsidR="004F67EB" w:rsidRPr="00AE5EF0">
              <w:rPr>
                <w:sz w:val="20"/>
                <w:szCs w:val="20"/>
              </w:rPr>
              <w:t>przeprowadzane</w:t>
            </w:r>
            <w:r w:rsidR="00C62CE7">
              <w:rPr>
                <w:sz w:val="20"/>
                <w:szCs w:val="20"/>
              </w:rPr>
              <w:t xml:space="preserve"> </w:t>
            </w:r>
            <w:r w:rsidR="004F67EB" w:rsidRPr="00AE5EF0">
              <w:rPr>
                <w:sz w:val="20"/>
                <w:szCs w:val="20"/>
              </w:rPr>
              <w:t>przed</w:t>
            </w:r>
            <w:r w:rsidR="00C62CE7">
              <w:rPr>
                <w:sz w:val="20"/>
                <w:szCs w:val="20"/>
              </w:rPr>
              <w:t xml:space="preserve"> </w:t>
            </w:r>
            <w:r w:rsidR="004F67EB" w:rsidRPr="00AE5EF0">
              <w:rPr>
                <w:sz w:val="20"/>
                <w:szCs w:val="20"/>
              </w:rPr>
              <w:t>każdym</w:t>
            </w:r>
            <w:r w:rsidR="00C62CE7">
              <w:rPr>
                <w:sz w:val="20"/>
                <w:szCs w:val="20"/>
              </w:rPr>
              <w:t xml:space="preserve"> </w:t>
            </w:r>
            <w:r w:rsidR="004F67EB" w:rsidRPr="00AE5EF0">
              <w:rPr>
                <w:sz w:val="20"/>
                <w:szCs w:val="20"/>
              </w:rPr>
              <w:t>podaniem</w:t>
            </w:r>
            <w:r w:rsidR="00C62CE7">
              <w:rPr>
                <w:sz w:val="20"/>
                <w:szCs w:val="20"/>
              </w:rPr>
              <w:t xml:space="preserve"> </w:t>
            </w:r>
            <w:r w:rsidR="004F67EB" w:rsidRPr="00AE5EF0">
              <w:rPr>
                <w:sz w:val="20"/>
                <w:szCs w:val="20"/>
              </w:rPr>
              <w:t>leku:</w:t>
            </w:r>
          </w:p>
          <w:p w14:paraId="77FFE9C4" w14:textId="7AE70EE1" w:rsidR="00EB0501" w:rsidRPr="00AE5EF0" w:rsidRDefault="000038D2" w:rsidP="00107B9A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(</w:t>
            </w:r>
            <w:r w:rsidR="008D0C52" w:rsidRPr="00AE5EF0">
              <w:rPr>
                <w:sz w:val="20"/>
                <w:szCs w:val="20"/>
              </w:rPr>
              <w:t>wzorem</w:t>
            </w:r>
            <w:r w:rsidR="00C62CE7">
              <w:rPr>
                <w:sz w:val="20"/>
                <w:szCs w:val="20"/>
              </w:rPr>
              <w:t xml:space="preserve"> </w:t>
            </w:r>
            <w:r w:rsidR="008D0C52" w:rsidRPr="00AE5EF0">
              <w:rPr>
                <w:sz w:val="20"/>
                <w:szCs w:val="20"/>
              </w:rPr>
              <w:t>odsetkowym</w:t>
            </w:r>
            <w:r w:rsidR="001F515D" w:rsidRPr="00AE5EF0">
              <w:rPr>
                <w:sz w:val="20"/>
                <w:szCs w:val="20"/>
              </w:rPr>
              <w:t>)</w:t>
            </w:r>
            <w:r w:rsidR="00823E1D" w:rsidRPr="00AE5EF0">
              <w:rPr>
                <w:sz w:val="20"/>
                <w:szCs w:val="20"/>
              </w:rPr>
              <w:t>,</w:t>
            </w:r>
          </w:p>
          <w:p w14:paraId="0C346CE2" w14:textId="2C1E03F5" w:rsidR="00EB0501" w:rsidRPr="00AE5EF0" w:rsidRDefault="00EB0501" w:rsidP="00107B9A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</w:t>
            </w:r>
            <w:r w:rsidR="00755D68" w:rsidRPr="00AE5EF0">
              <w:rPr>
                <w:sz w:val="20"/>
                <w:szCs w:val="20"/>
              </w:rPr>
              <w:t>cena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wydolności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(stężenie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kreatyniny,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kwasu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moczowego,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AST,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ALT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całkowitej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surowicy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krwi</w:t>
            </w:r>
            <w:r w:rsidR="000F1683" w:rsidRPr="00AE5EF0">
              <w:rPr>
                <w:sz w:val="20"/>
                <w:szCs w:val="20"/>
              </w:rPr>
              <w:t>),</w:t>
            </w:r>
          </w:p>
          <w:p w14:paraId="085236E0" w14:textId="5DC0C04A" w:rsidR="006E6740" w:rsidRPr="00AE5EF0" w:rsidRDefault="006E6740" w:rsidP="00107B9A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elektrolity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sodu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potasu)</w:t>
            </w:r>
            <w:r w:rsidR="00107B9A">
              <w:rPr>
                <w:sz w:val="20"/>
                <w:szCs w:val="20"/>
              </w:rPr>
              <w:t>;</w:t>
            </w:r>
          </w:p>
          <w:p w14:paraId="53144EC8" w14:textId="5224A763" w:rsidR="00EB0501" w:rsidRPr="00AE5EF0" w:rsidRDefault="00EB0501" w:rsidP="00107B9A">
            <w:pPr>
              <w:pStyle w:val="Akapitzlist"/>
              <w:numPr>
                <w:ilvl w:val="3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wykonywane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3.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cyklach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leczenia,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zakończeniu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dowolnym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momencie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podejrzenia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progresji</w:t>
            </w:r>
            <w:r w:rsidR="00C62CE7">
              <w:rPr>
                <w:sz w:val="20"/>
                <w:szCs w:val="20"/>
              </w:rPr>
              <w:t xml:space="preserve"> </w:t>
            </w:r>
            <w:r w:rsidR="000038D2" w:rsidRPr="00AE5EF0">
              <w:rPr>
                <w:sz w:val="20"/>
                <w:szCs w:val="20"/>
              </w:rPr>
              <w:t>choroby:</w:t>
            </w:r>
          </w:p>
          <w:p w14:paraId="7309A1AD" w14:textId="13CF5483" w:rsidR="000038D2" w:rsidRPr="00AE5EF0" w:rsidRDefault="000038D2" w:rsidP="00107B9A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odpowiednie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obrazowe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PET-TK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NMR).</w:t>
            </w:r>
          </w:p>
        </w:tc>
      </w:tr>
      <w:tr w:rsidR="00F328D6" w:rsidRPr="007E3BCE" w14:paraId="42B76718" w14:textId="77777777" w:rsidTr="00AE5EF0">
        <w:trPr>
          <w:trHeight w:val="567"/>
        </w:trPr>
        <w:tc>
          <w:tcPr>
            <w:tcW w:w="15388" w:type="dxa"/>
            <w:gridSpan w:val="3"/>
            <w:vAlign w:val="center"/>
          </w:tcPr>
          <w:p w14:paraId="31591CEC" w14:textId="3BA6BF78" w:rsidR="00F328D6" w:rsidRPr="00F328D6" w:rsidRDefault="00F328D6" w:rsidP="00AE5E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  <w:r w:rsidR="00107B9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B.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Leczenie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chorych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chłoniaki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dużych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komórek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Terapia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CAR-T</w:t>
            </w:r>
          </w:p>
        </w:tc>
      </w:tr>
      <w:tr w:rsidR="00E83F1B" w:rsidRPr="007E3BCE" w14:paraId="69F522B6" w14:textId="77777777" w:rsidTr="00EB5DFC">
        <w:trPr>
          <w:trHeight w:val="20"/>
        </w:trPr>
        <w:tc>
          <w:tcPr>
            <w:tcW w:w="5665" w:type="dxa"/>
          </w:tcPr>
          <w:p w14:paraId="06809898" w14:textId="74B65B67" w:rsidR="0054414A" w:rsidRPr="00107B9A" w:rsidRDefault="00EB0501" w:rsidP="00107B9A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07B9A">
              <w:rPr>
                <w:color w:val="000000"/>
                <w:sz w:val="20"/>
                <w:szCs w:val="20"/>
              </w:rPr>
              <w:t>W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ramach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części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III.B.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programu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lekowego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chorym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na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="0054414A" w:rsidRPr="00107B9A">
              <w:rPr>
                <w:sz w:val="20"/>
                <w:szCs w:val="20"/>
              </w:rPr>
              <w:t>chłoniaki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z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dużych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komórek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B</w:t>
            </w:r>
            <w:r w:rsidR="00C62CE7" w:rsidRPr="00107B9A">
              <w:rPr>
                <w:b/>
                <w:bCs/>
                <w:sz w:val="20"/>
                <w:szCs w:val="20"/>
              </w:rPr>
              <w:t xml:space="preserve"> </w:t>
            </w:r>
            <w:r w:rsidRPr="00107B9A">
              <w:rPr>
                <w:sz w:val="20"/>
                <w:szCs w:val="20"/>
              </w:rPr>
              <w:t>(DLBCL)</w:t>
            </w:r>
            <w:r w:rsidR="00C62CE7" w:rsidRPr="00107B9A">
              <w:rPr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udostępnia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się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Pr="00107B9A">
              <w:rPr>
                <w:color w:val="000000"/>
                <w:sz w:val="20"/>
                <w:szCs w:val="20"/>
              </w:rPr>
              <w:t>terapi</w:t>
            </w:r>
            <w:r w:rsidR="0054414A" w:rsidRPr="00107B9A">
              <w:rPr>
                <w:color w:val="000000"/>
                <w:sz w:val="20"/>
                <w:szCs w:val="20"/>
              </w:rPr>
              <w:t>e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="0054414A" w:rsidRPr="00107B9A">
              <w:rPr>
                <w:color w:val="000000"/>
                <w:sz w:val="20"/>
                <w:szCs w:val="20"/>
              </w:rPr>
              <w:t>CAR-T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="0054414A" w:rsidRPr="00107B9A">
              <w:rPr>
                <w:color w:val="000000"/>
                <w:sz w:val="20"/>
                <w:szCs w:val="20"/>
              </w:rPr>
              <w:t>z</w:t>
            </w:r>
            <w:r w:rsidR="00C62CE7" w:rsidRPr="00107B9A">
              <w:rPr>
                <w:color w:val="000000"/>
                <w:sz w:val="20"/>
                <w:szCs w:val="20"/>
              </w:rPr>
              <w:t xml:space="preserve"> </w:t>
            </w:r>
            <w:r w:rsidR="0054414A" w:rsidRPr="00107B9A">
              <w:rPr>
                <w:color w:val="000000"/>
                <w:sz w:val="20"/>
                <w:szCs w:val="20"/>
              </w:rPr>
              <w:t>zastosowaniem:</w:t>
            </w:r>
          </w:p>
          <w:p w14:paraId="06FD818C" w14:textId="77777777" w:rsidR="004111CC" w:rsidRPr="004111CC" w:rsidRDefault="0054414A" w:rsidP="00AE5EF0">
            <w:pPr>
              <w:pStyle w:val="Akapitzlist"/>
              <w:numPr>
                <w:ilvl w:val="3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  <w:u w:val="single"/>
              </w:rPr>
            </w:pPr>
            <w:r w:rsidRPr="00AE5EF0">
              <w:rPr>
                <w:sz w:val="20"/>
                <w:szCs w:val="20"/>
              </w:rPr>
              <w:t>aksykabtagenu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cyloleucelu</w:t>
            </w:r>
          </w:p>
          <w:p w14:paraId="0C91A3A3" w14:textId="2217D2C5" w:rsidR="0054414A" w:rsidRPr="00AE5EF0" w:rsidRDefault="0054414A" w:rsidP="004111C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  <w:u w:val="single"/>
              </w:rPr>
            </w:pPr>
            <w:r w:rsidRPr="00AE5EF0">
              <w:rPr>
                <w:sz w:val="20"/>
                <w:szCs w:val="20"/>
              </w:rPr>
              <w:t>albo</w:t>
            </w:r>
          </w:p>
          <w:p w14:paraId="58B7EF4C" w14:textId="2DB4C842" w:rsidR="0054414A" w:rsidRPr="00AE5EF0" w:rsidRDefault="0054414A" w:rsidP="00AE5EF0">
            <w:pPr>
              <w:pStyle w:val="Akapitzlist"/>
              <w:numPr>
                <w:ilvl w:val="3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  <w:u w:val="single"/>
              </w:rPr>
            </w:pPr>
            <w:r w:rsidRPr="00AE5EF0">
              <w:rPr>
                <w:sz w:val="20"/>
                <w:szCs w:val="20"/>
              </w:rPr>
              <w:t>tisagenlecleucelu</w:t>
            </w:r>
          </w:p>
          <w:p w14:paraId="4BFE17E7" w14:textId="13D35798" w:rsidR="00EB0501" w:rsidRPr="00E00090" w:rsidRDefault="00EB0501" w:rsidP="00E0009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E00090">
              <w:rPr>
                <w:sz w:val="20"/>
                <w:szCs w:val="20"/>
                <w:u w:val="single"/>
              </w:rPr>
              <w:t>zgodnie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ze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wskazanymi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w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opisie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programu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warunkami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i</w:t>
            </w:r>
            <w:r w:rsidR="00C62CE7" w:rsidRPr="00E00090">
              <w:rPr>
                <w:sz w:val="20"/>
                <w:szCs w:val="20"/>
                <w:u w:val="single"/>
              </w:rPr>
              <w:t xml:space="preserve"> </w:t>
            </w:r>
            <w:r w:rsidRPr="00E00090">
              <w:rPr>
                <w:sz w:val="20"/>
                <w:szCs w:val="20"/>
                <w:u w:val="single"/>
              </w:rPr>
              <w:t>kryteriami.</w:t>
            </w:r>
          </w:p>
          <w:p w14:paraId="07C94E4E" w14:textId="77777777" w:rsidR="0054414A" w:rsidRPr="00AE5EF0" w:rsidRDefault="0054414A" w:rsidP="00AE5EF0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E45E577" w14:textId="3F05E02B" w:rsidR="0054414A" w:rsidRPr="00AE5EF0" w:rsidRDefault="0054414A" w:rsidP="00E00090">
            <w:pPr>
              <w:pStyle w:val="Akapitzlist"/>
              <w:numPr>
                <w:ilvl w:val="0"/>
                <w:numId w:val="45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319ACDCD" w14:textId="2EF74E57" w:rsidR="00067372" w:rsidRPr="00E00090" w:rsidRDefault="00067372" w:rsidP="00E0009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Kwalifikacji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świadczeniobiorców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terapii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dokonuje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Zespół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Koordynacyjny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ds.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CAR-T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powoływany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przez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Prezesa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Narodowego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Funduszu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Zdrowia.</w:t>
            </w:r>
          </w:p>
          <w:p w14:paraId="1AD60B50" w14:textId="05536635" w:rsidR="00067372" w:rsidRPr="00E00090" w:rsidRDefault="00067372" w:rsidP="00E0009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Kwalifikacja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programu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C45571" w:rsidRPr="00E00090">
              <w:rPr>
                <w:sz w:val="20"/>
                <w:szCs w:val="20"/>
              </w:rPr>
              <w:t>oraz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C45571" w:rsidRPr="00E00090">
              <w:rPr>
                <w:sz w:val="20"/>
                <w:szCs w:val="20"/>
              </w:rPr>
              <w:t>weryfikacja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C45571" w:rsidRPr="00E00090">
              <w:rPr>
                <w:sz w:val="20"/>
                <w:szCs w:val="20"/>
              </w:rPr>
              <w:t>skuteczności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C45571" w:rsidRPr="00E00090">
              <w:rPr>
                <w:sz w:val="20"/>
                <w:szCs w:val="20"/>
              </w:rPr>
              <w:t>leczenia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odbywa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się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oparciu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ocenę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stanu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klinicznego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pacjenta.</w:t>
            </w:r>
          </w:p>
          <w:p w14:paraId="511E5E42" w14:textId="5A7F1BFD" w:rsidR="00067372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potwierdzony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histologicznie:</w:t>
            </w:r>
          </w:p>
          <w:p w14:paraId="6C123607" w14:textId="2F541BC2" w:rsidR="00955D9E" w:rsidRPr="00AE5EF0" w:rsidRDefault="00067372" w:rsidP="00E00090">
            <w:pPr>
              <w:pStyle w:val="Akapitzlist"/>
              <w:numPr>
                <w:ilvl w:val="4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chłoniak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rozlany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dużych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komórek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(DLBCL)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albo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chłoniak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komórek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B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o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wysokim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stopniu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złośliwości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(HGBCL)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albo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stransformowany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DLBCL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chłoniak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grudkowy</w:t>
            </w:r>
            <w:r w:rsidR="00C62CE7">
              <w:rPr>
                <w:sz w:val="20"/>
                <w:szCs w:val="20"/>
              </w:rPr>
              <w:t xml:space="preserve"> </w:t>
            </w:r>
            <w:r w:rsidR="00334BFA" w:rsidRPr="00AE5EF0">
              <w:rPr>
                <w:sz w:val="20"/>
                <w:szCs w:val="20"/>
              </w:rPr>
              <w:t>(TFL)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dotyczy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aksykabtagenem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cyloleucelu</w:t>
            </w:r>
            <w:r w:rsidR="00C62CE7">
              <w:rPr>
                <w:sz w:val="20"/>
                <w:szCs w:val="20"/>
              </w:rPr>
              <w:t xml:space="preserve"> </w:t>
            </w:r>
            <w:r w:rsidR="00755D68" w:rsidRPr="00AE5EF0">
              <w:rPr>
                <w:sz w:val="20"/>
                <w:szCs w:val="20"/>
              </w:rPr>
              <w:t>albo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tisagenlecleucelem,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6989ADDE" w14:textId="6D8D9822" w:rsidR="00067372" w:rsidRPr="00AE5EF0" w:rsidRDefault="00067372" w:rsidP="00E00090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albo</w:t>
            </w:r>
          </w:p>
          <w:p w14:paraId="5B269243" w14:textId="13C00218" w:rsidR="00067372" w:rsidRPr="00AE5EF0" w:rsidRDefault="00067372" w:rsidP="00E00090">
            <w:pPr>
              <w:pStyle w:val="Akapitzlist"/>
              <w:numPr>
                <w:ilvl w:val="4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pierwotny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chłoniak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śródpiersia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dużych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komórek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(PMBCL)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dotyczy</w:t>
            </w:r>
            <w:r w:rsidR="00C62CE7">
              <w:rPr>
                <w:sz w:val="20"/>
                <w:szCs w:val="20"/>
              </w:rPr>
              <w:t xml:space="preserve"> </w:t>
            </w:r>
            <w:r w:rsidR="00B7438E"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wyłącznie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aksykabtagenem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cyloleucelu;</w:t>
            </w:r>
          </w:p>
          <w:p w14:paraId="512DE498" w14:textId="083BB4FA" w:rsidR="00013022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wiek</w:t>
            </w:r>
            <w:r w:rsidR="00C62CE7">
              <w:rPr>
                <w:sz w:val="20"/>
                <w:szCs w:val="20"/>
              </w:rPr>
              <w:t xml:space="preserve"> </w:t>
            </w:r>
            <w:r w:rsidR="00013022" w:rsidRPr="00AE5EF0">
              <w:rPr>
                <w:sz w:val="20"/>
                <w:szCs w:val="20"/>
              </w:rPr>
              <w:t>18</w:t>
            </w:r>
            <w:r w:rsidR="00C62CE7">
              <w:rPr>
                <w:sz w:val="20"/>
                <w:szCs w:val="20"/>
              </w:rPr>
              <w:t xml:space="preserve"> </w:t>
            </w:r>
            <w:r w:rsidR="00F928FE" w:rsidRPr="00AE5EF0">
              <w:rPr>
                <w:sz w:val="20"/>
                <w:szCs w:val="20"/>
              </w:rPr>
              <w:t>lat</w:t>
            </w:r>
            <w:r w:rsidR="00C62CE7">
              <w:rPr>
                <w:sz w:val="20"/>
                <w:szCs w:val="20"/>
              </w:rPr>
              <w:t xml:space="preserve"> </w:t>
            </w:r>
            <w:r w:rsidR="00F928FE"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="00F928FE" w:rsidRPr="00AE5EF0">
              <w:rPr>
                <w:sz w:val="20"/>
                <w:szCs w:val="20"/>
              </w:rPr>
              <w:t>powyżej</w:t>
            </w:r>
            <w:r w:rsidR="00013022" w:rsidRPr="00AE5EF0">
              <w:rPr>
                <w:sz w:val="20"/>
                <w:szCs w:val="20"/>
              </w:rPr>
              <w:t>;</w:t>
            </w:r>
          </w:p>
          <w:p w14:paraId="2FF6AA80" w14:textId="72C84913" w:rsidR="00013022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stan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sprawności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według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ECOG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0-</w:t>
            </w:r>
            <w:r w:rsidR="00DC158B" w:rsidRPr="00AE5EF0">
              <w:rPr>
                <w:sz w:val="20"/>
                <w:szCs w:val="20"/>
              </w:rPr>
              <w:t>1</w:t>
            </w:r>
            <w:r w:rsidRPr="00AE5EF0">
              <w:rPr>
                <w:sz w:val="20"/>
                <w:szCs w:val="20"/>
              </w:rPr>
              <w:t>;</w:t>
            </w:r>
            <w:r w:rsidR="00C62CE7">
              <w:rPr>
                <w:sz w:val="20"/>
                <w:szCs w:val="20"/>
              </w:rPr>
              <w:t xml:space="preserve"> </w:t>
            </w:r>
            <w:r w:rsidR="00013022" w:rsidRPr="00AE5EF0">
              <w:rPr>
                <w:sz w:val="20"/>
                <w:szCs w:val="20"/>
              </w:rPr>
              <w:t>s</w:t>
            </w:r>
            <w:r w:rsidRPr="00AE5EF0">
              <w:rPr>
                <w:sz w:val="20"/>
                <w:szCs w:val="20"/>
              </w:rPr>
              <w:t>tan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zdrowia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chorego</w:t>
            </w:r>
            <w:r w:rsidR="00C62CE7">
              <w:rPr>
                <w:sz w:val="20"/>
                <w:szCs w:val="20"/>
              </w:rPr>
              <w:t xml:space="preserve"> </w:t>
            </w:r>
            <w:r w:rsidR="00013022" w:rsidRPr="00AE5EF0">
              <w:rPr>
                <w:sz w:val="20"/>
                <w:szCs w:val="20"/>
              </w:rPr>
              <w:t>powinien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lekarza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prowadzącego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rokować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przeżycie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3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miesiąc</w:t>
            </w:r>
            <w:r w:rsidR="00013022" w:rsidRPr="00AE5EF0">
              <w:rPr>
                <w:sz w:val="20"/>
                <w:szCs w:val="20"/>
              </w:rPr>
              <w:t>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bez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zastosowania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terapii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CAR-T</w:t>
            </w:r>
            <w:r w:rsidR="00013022" w:rsidRPr="00AE5EF0">
              <w:rPr>
                <w:sz w:val="20"/>
                <w:szCs w:val="20"/>
              </w:rPr>
              <w:t>;</w:t>
            </w:r>
          </w:p>
          <w:p w14:paraId="5E37FDA2" w14:textId="3FA71838" w:rsidR="00013022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udokumentowane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niepowodzenie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dwóch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więcej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linii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systemowego;</w:t>
            </w:r>
          </w:p>
          <w:p w14:paraId="3A194ED5" w14:textId="32FA5848" w:rsidR="00013022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wcześniejsze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zawierające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przeciwciało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anty-CD20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antracykliny;</w:t>
            </w:r>
          </w:p>
          <w:p w14:paraId="70E31900" w14:textId="01F5804E" w:rsidR="00013022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oporność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ostatnią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otrzymaną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linię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wznowa/progresja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ciągu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12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miesięcy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przeszczepienia</w:t>
            </w:r>
            <w:r w:rsidR="00C62CE7">
              <w:rPr>
                <w:sz w:val="20"/>
                <w:szCs w:val="20"/>
              </w:rPr>
              <w:t xml:space="preserve"> </w:t>
            </w:r>
            <w:r w:rsidR="00F928FE" w:rsidRPr="00AE5EF0">
              <w:rPr>
                <w:sz w:val="20"/>
                <w:szCs w:val="20"/>
              </w:rPr>
              <w:t>krwiotwórczych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komórek</w:t>
            </w:r>
            <w:r w:rsidR="00C62CE7">
              <w:rPr>
                <w:sz w:val="20"/>
                <w:szCs w:val="20"/>
              </w:rPr>
              <w:t xml:space="preserve"> </w:t>
            </w:r>
            <w:r w:rsidR="00F928FE" w:rsidRPr="00AE5EF0">
              <w:rPr>
                <w:sz w:val="20"/>
                <w:szCs w:val="20"/>
              </w:rPr>
              <w:t>macierzystych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(HSCT);</w:t>
            </w:r>
          </w:p>
          <w:p w14:paraId="243CF777" w14:textId="2A3C2B86" w:rsidR="001B012A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czynność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szpiku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kostnego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pozwalająca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lekarza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prowadzącego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przeprowadzenie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terapii</w:t>
            </w:r>
            <w:r w:rsidR="001B012A" w:rsidRPr="00AE5EF0">
              <w:rPr>
                <w:sz w:val="20"/>
                <w:szCs w:val="20"/>
              </w:rPr>
              <w:t>;</w:t>
            </w:r>
          </w:p>
          <w:p w14:paraId="5F98B713" w14:textId="4EA715EA" w:rsidR="00067372" w:rsidRPr="00AE5EF0" w:rsidRDefault="0006737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czynność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serca,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płuc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pozwalająca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lekarza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prowadzącego</w:t>
            </w:r>
            <w:r w:rsidR="00C62CE7">
              <w:rPr>
                <w:sz w:val="20"/>
                <w:szCs w:val="20"/>
              </w:rPr>
              <w:t xml:space="preserve"> </w:t>
            </w:r>
            <w:r w:rsidR="00B7438E"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="00B7438E" w:rsidRPr="00AE5EF0">
              <w:rPr>
                <w:sz w:val="20"/>
                <w:szCs w:val="20"/>
              </w:rPr>
              <w:t>przeprowadzenie</w:t>
            </w:r>
            <w:r w:rsidR="00C62CE7">
              <w:rPr>
                <w:sz w:val="20"/>
                <w:szCs w:val="20"/>
              </w:rPr>
              <w:t xml:space="preserve"> </w:t>
            </w:r>
            <w:r w:rsidR="00B7438E" w:rsidRPr="00AE5EF0">
              <w:rPr>
                <w:sz w:val="20"/>
                <w:szCs w:val="20"/>
              </w:rPr>
              <w:t>terapii</w:t>
            </w:r>
            <w:r w:rsidR="00F21C02" w:rsidRPr="00AE5EF0">
              <w:rPr>
                <w:sz w:val="20"/>
                <w:szCs w:val="20"/>
              </w:rPr>
              <w:t>;</w:t>
            </w:r>
          </w:p>
          <w:p w14:paraId="1D5547F5" w14:textId="312778BA" w:rsidR="00F21C02" w:rsidRPr="00AE5EF0" w:rsidRDefault="00F21C02" w:rsidP="00E00090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możliwość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zastosowania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leczonych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kobiet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wieku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rozrodczym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mężczyzn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partnerów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seksualnych)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skutecznych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metod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antykoncepcji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okresie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12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miesięcy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infuzji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aksykabtagenu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cyloleucelu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albo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tisagenlecleucelu.</w:t>
            </w:r>
          </w:p>
          <w:p w14:paraId="00B4310B" w14:textId="2DD1E99A" w:rsidR="00067372" w:rsidRPr="00E00090" w:rsidRDefault="00067372" w:rsidP="00E0009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Kryteria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kwalifikacji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muszą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być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spełnione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łącznie.</w:t>
            </w:r>
          </w:p>
          <w:p w14:paraId="4BE123C6" w14:textId="77777777" w:rsidR="001B012A" w:rsidRPr="00AE5EF0" w:rsidRDefault="001B012A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73DE26B" w14:textId="3C106342" w:rsidR="001B012A" w:rsidRPr="00AE5EF0" w:rsidRDefault="001B012A" w:rsidP="00E0009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Określenie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czasu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programie</w:t>
            </w:r>
          </w:p>
          <w:p w14:paraId="4CF8C273" w14:textId="4A7999D6" w:rsidR="00067372" w:rsidRPr="00E00090" w:rsidRDefault="001B012A" w:rsidP="00E0009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bCs/>
                <w:sz w:val="20"/>
                <w:szCs w:val="20"/>
              </w:rPr>
              <w:t>U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chorych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można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zastosować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jedno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przetoczenie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CAR-T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(tj.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jedno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podanie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aksykabtagen</w:t>
            </w:r>
            <w:r w:rsidR="00B7438E" w:rsidRPr="00E00090">
              <w:rPr>
                <w:bCs/>
                <w:sz w:val="20"/>
                <w:szCs w:val="20"/>
              </w:rPr>
              <w:t>u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cyloleucelu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albo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jedno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podanie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tisagenlecleucelu).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Maksymalny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czas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opieki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w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ramach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programu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lekowego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wynosi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12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miesięcy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od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dnia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podania</w:t>
            </w:r>
            <w:r w:rsidR="00C62CE7" w:rsidRPr="00E00090">
              <w:rPr>
                <w:bCs/>
                <w:sz w:val="20"/>
                <w:szCs w:val="20"/>
              </w:rPr>
              <w:t xml:space="preserve"> </w:t>
            </w:r>
            <w:r w:rsidRPr="00E00090">
              <w:rPr>
                <w:bCs/>
                <w:sz w:val="20"/>
                <w:szCs w:val="20"/>
              </w:rPr>
              <w:t>CAR-T.</w:t>
            </w:r>
          </w:p>
          <w:p w14:paraId="69AC3C90" w14:textId="77777777" w:rsidR="001B012A" w:rsidRPr="00AE5EF0" w:rsidRDefault="001B012A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F9C4458" w14:textId="73815943" w:rsidR="001B012A" w:rsidRPr="00AE5EF0" w:rsidRDefault="001B012A" w:rsidP="00E0009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stanowiące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przeciwwskazania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do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włączenia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do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programu</w:t>
            </w:r>
          </w:p>
          <w:p w14:paraId="78F6AA40" w14:textId="494BE637" w:rsidR="001B012A" w:rsidRPr="00E00090" w:rsidRDefault="001B012A" w:rsidP="00E0009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Obecne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najmniej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jedno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poniższych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kryteriów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podczas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kwalifikacji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programu:</w:t>
            </w:r>
          </w:p>
          <w:p w14:paraId="34587204" w14:textId="2F43CD06" w:rsidR="001B012A" w:rsidRPr="00AE5EF0" w:rsidRDefault="001B012A" w:rsidP="00E00090">
            <w:pPr>
              <w:pStyle w:val="Akapitzlist"/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nadwrażliwość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którąkolwiek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substancję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pomocniczą;</w:t>
            </w:r>
          </w:p>
          <w:p w14:paraId="2754B6E4" w14:textId="0E4848B1" w:rsidR="00AD689F" w:rsidRPr="00AE5EF0" w:rsidRDefault="001B012A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ciąża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karmienie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piersią;</w:t>
            </w:r>
          </w:p>
          <w:p w14:paraId="79FDE0A3" w14:textId="06CE8097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aktywne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niekontrolowane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zakażenie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systemowe;</w:t>
            </w:r>
          </w:p>
          <w:p w14:paraId="40E3C242" w14:textId="6D4A8C3E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aktywna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obturacyjna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restrykcyjna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płuc;</w:t>
            </w:r>
          </w:p>
          <w:p w14:paraId="6A04BA6C" w14:textId="0A2DACD8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aktywna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hemoliza;</w:t>
            </w:r>
          </w:p>
          <w:p w14:paraId="6533A60B" w14:textId="34D46FC0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aktywna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koagulopatia;</w:t>
            </w:r>
          </w:p>
          <w:p w14:paraId="6A894D71" w14:textId="0C744558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zakrzepowe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zapalenie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żył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głębokich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zatorowość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płucna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ciągu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ostatnich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6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miesięcy;</w:t>
            </w:r>
          </w:p>
          <w:p w14:paraId="330AC84C" w14:textId="6ED0AE06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zajęcie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ośrodkowego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układu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nerwowego</w:t>
            </w:r>
            <w:r w:rsidR="00C62CE7">
              <w:rPr>
                <w:sz w:val="20"/>
                <w:szCs w:val="20"/>
              </w:rPr>
              <w:t xml:space="preserve"> </w:t>
            </w:r>
            <w:r w:rsidR="005E5666" w:rsidRPr="00AE5EF0">
              <w:rPr>
                <w:sz w:val="20"/>
                <w:szCs w:val="20"/>
              </w:rPr>
              <w:t>(OUN)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chłoniaka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="005E5666" w:rsidRPr="00AE5EF0">
              <w:rPr>
                <w:sz w:val="20"/>
                <w:szCs w:val="20"/>
              </w:rPr>
              <w:t>przez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obejmujące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OUN;</w:t>
            </w:r>
          </w:p>
          <w:p w14:paraId="3CE9B355" w14:textId="60677248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zakażenie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HIV</w:t>
            </w:r>
            <w:r w:rsidR="005E5666" w:rsidRPr="00AE5EF0">
              <w:rPr>
                <w:sz w:val="20"/>
                <w:szCs w:val="20"/>
              </w:rPr>
              <w:t>;</w:t>
            </w:r>
          </w:p>
          <w:p w14:paraId="057E0768" w14:textId="7311FC49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aktywne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wirusowe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zapalenie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typu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C;</w:t>
            </w:r>
          </w:p>
          <w:p w14:paraId="473B7F4B" w14:textId="74CDC0B7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aktywna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autoimmunologiczna;</w:t>
            </w:r>
          </w:p>
          <w:p w14:paraId="519A4176" w14:textId="0921AE81" w:rsidR="00AD689F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pierwotny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niedobór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odporności;</w:t>
            </w:r>
          </w:p>
          <w:p w14:paraId="24DE4CCA" w14:textId="7D2F6945" w:rsidR="00074370" w:rsidRPr="00AE5EF0" w:rsidRDefault="0041155E" w:rsidP="00E00090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obecność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przeciwwskazań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stosowania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chemioterapii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limfodeplecyjnej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zastosowaniem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takich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leków,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jak:</w:t>
            </w:r>
            <w:r w:rsidR="00C62CE7">
              <w:rPr>
                <w:sz w:val="20"/>
                <w:szCs w:val="20"/>
              </w:rPr>
              <w:t xml:space="preserve"> </w:t>
            </w:r>
          </w:p>
          <w:p w14:paraId="04CF5768" w14:textId="22D026A2" w:rsidR="00074370" w:rsidRPr="00AE5EF0" w:rsidRDefault="0041155E" w:rsidP="00E00090">
            <w:pPr>
              <w:pStyle w:val="Akapitzlist"/>
              <w:numPr>
                <w:ilvl w:val="4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cyklofosfamid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fludarabina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aksykabtagenem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cyloleucelu</w:t>
            </w:r>
            <w:r w:rsidR="000A4D83" w:rsidRPr="00AE5EF0">
              <w:rPr>
                <w:sz w:val="20"/>
                <w:szCs w:val="20"/>
              </w:rPr>
              <w:t>,</w:t>
            </w:r>
          </w:p>
          <w:p w14:paraId="62D0693D" w14:textId="1949C470" w:rsidR="00074370" w:rsidRPr="00AE5EF0" w:rsidRDefault="000A4D83" w:rsidP="00E00090">
            <w:pPr>
              <w:pStyle w:val="Akapitzlist"/>
              <w:numPr>
                <w:ilvl w:val="4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cyklofosfamid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fludarabina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albo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bendamustyna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="008E53D3" w:rsidRPr="00AE5EF0">
              <w:rPr>
                <w:sz w:val="20"/>
                <w:szCs w:val="20"/>
              </w:rPr>
              <w:t>tisagenlecleucelem</w:t>
            </w:r>
            <w:r w:rsidR="00074370" w:rsidRPr="00AE5EF0">
              <w:rPr>
                <w:sz w:val="20"/>
                <w:szCs w:val="20"/>
              </w:rPr>
              <w:t>;</w:t>
            </w:r>
          </w:p>
          <w:p w14:paraId="40EFCC91" w14:textId="13A843FA" w:rsidR="0041155E" w:rsidRPr="00AE5EF0" w:rsidRDefault="0041155E" w:rsidP="00E00090">
            <w:pPr>
              <w:pStyle w:val="Akapitzlist"/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wcześniejsze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CAR-T</w:t>
            </w:r>
            <w:r w:rsidR="00C62CE7">
              <w:rPr>
                <w:sz w:val="20"/>
                <w:szCs w:val="20"/>
              </w:rPr>
              <w:t xml:space="preserve"> </w:t>
            </w:r>
            <w:r w:rsidR="00772D6B" w:rsidRPr="00AE5EF0">
              <w:rPr>
                <w:sz w:val="20"/>
                <w:szCs w:val="20"/>
              </w:rPr>
              <w:t>(anty-CD19)</w:t>
            </w:r>
            <w:r w:rsidR="00B5059B" w:rsidRPr="00AE5EF0">
              <w:rPr>
                <w:sz w:val="20"/>
                <w:szCs w:val="20"/>
              </w:rPr>
              <w:t>.</w:t>
            </w:r>
          </w:p>
          <w:p w14:paraId="691900F6" w14:textId="59C39D56" w:rsidR="00AF3019" w:rsidRPr="00AE5EF0" w:rsidRDefault="00AF3019" w:rsidP="00AE5EF0">
            <w:pPr>
              <w:autoSpaceDE w:val="0"/>
              <w:autoSpaceDN w:val="0"/>
              <w:adjustRightInd w:val="0"/>
              <w:spacing w:after="60" w:line="276" w:lineRule="auto"/>
              <w:ind w:left="227"/>
              <w:jc w:val="both"/>
              <w:rPr>
                <w:sz w:val="20"/>
                <w:szCs w:val="20"/>
              </w:rPr>
            </w:pPr>
          </w:p>
          <w:p w14:paraId="1127B085" w14:textId="3B6E0BF4" w:rsidR="001B012A" w:rsidRPr="00AE5EF0" w:rsidRDefault="001B012A" w:rsidP="00E0009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Kryteria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wyłączenia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programu</w:t>
            </w:r>
          </w:p>
          <w:p w14:paraId="4D83EA79" w14:textId="035F125B" w:rsidR="00E65EA8" w:rsidRPr="00AE5EF0" w:rsidRDefault="00755D68" w:rsidP="00E00090">
            <w:pPr>
              <w:pStyle w:val="Akapitzlist"/>
              <w:numPr>
                <w:ilvl w:val="3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</w:t>
            </w:r>
            <w:r w:rsidR="00A92CFA" w:rsidRPr="00AE5EF0">
              <w:rPr>
                <w:sz w:val="20"/>
                <w:szCs w:val="20"/>
              </w:rPr>
              <w:t>ystąpienie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nieodwracalnych,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bezwzględnych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przeciwwskazań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podania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aksykabtag</w:t>
            </w:r>
            <w:r w:rsidR="003D5503" w:rsidRPr="00AE5EF0">
              <w:rPr>
                <w:sz w:val="20"/>
                <w:szCs w:val="20"/>
              </w:rPr>
              <w:t>enu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cyloleucelu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albo</w:t>
            </w:r>
            <w:r w:rsidR="00C62CE7">
              <w:rPr>
                <w:sz w:val="20"/>
                <w:szCs w:val="20"/>
              </w:rPr>
              <w:t xml:space="preserve"> </w:t>
            </w:r>
            <w:r w:rsidR="00A92CFA" w:rsidRPr="00AE5EF0">
              <w:rPr>
                <w:sz w:val="20"/>
                <w:szCs w:val="20"/>
              </w:rPr>
              <w:t>tisagenlecleucelu</w:t>
            </w:r>
            <w:r w:rsidR="00074370" w:rsidRPr="00AE5EF0">
              <w:rPr>
                <w:sz w:val="20"/>
                <w:szCs w:val="20"/>
              </w:rPr>
              <w:t>.</w:t>
            </w:r>
          </w:p>
          <w:p w14:paraId="17E1CDF3" w14:textId="4077C316" w:rsidR="00AF3019" w:rsidRPr="00AE5EF0" w:rsidRDefault="00AF3019" w:rsidP="00AE5EF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</w:tcPr>
          <w:p w14:paraId="68D128E1" w14:textId="20153D11" w:rsidR="000F18A1" w:rsidRPr="00AE5EF0" w:rsidRDefault="000F18A1" w:rsidP="00E0009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Dawkowanie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54414A" w:rsidRPr="00AE5EF0">
              <w:rPr>
                <w:b/>
                <w:bCs/>
                <w:sz w:val="20"/>
                <w:szCs w:val="20"/>
              </w:rPr>
              <w:t>leków</w:t>
            </w:r>
          </w:p>
          <w:p w14:paraId="42C9FBE9" w14:textId="50F68BD5" w:rsidR="000A4D83" w:rsidRPr="00E00090" w:rsidRDefault="000A4D83" w:rsidP="00E0009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Schemat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dawkowania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aksykabtagenu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cyloleucelu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oraz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tisagenlecleucelu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zgodnie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zapisami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Charakterystyk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Produkt</w:t>
            </w:r>
            <w:r w:rsidR="00054506" w:rsidRPr="00E00090">
              <w:rPr>
                <w:sz w:val="20"/>
                <w:szCs w:val="20"/>
              </w:rPr>
              <w:t>ów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Lecznicz</w:t>
            </w:r>
            <w:r w:rsidR="00054506" w:rsidRPr="00E00090">
              <w:rPr>
                <w:sz w:val="20"/>
                <w:szCs w:val="20"/>
              </w:rPr>
              <w:t>ych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dla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tych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substancji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czynnych.</w:t>
            </w:r>
            <w:r w:rsidR="00C62CE7" w:rsidRPr="00E00090">
              <w:rPr>
                <w:sz w:val="20"/>
                <w:szCs w:val="20"/>
              </w:rPr>
              <w:t xml:space="preserve"> </w:t>
            </w:r>
          </w:p>
          <w:p w14:paraId="2B3C11FE" w14:textId="529E37ED" w:rsidR="00E65422" w:rsidRPr="00E00090" w:rsidRDefault="000A4D83" w:rsidP="00E0009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Chemioterapię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limfodeplecyjną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należy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stosować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zgodnie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zapisami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Charakterystyki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Produktu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Leczniczego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odpowiednio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dla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aksykabtagenu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cyloleucelu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albo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DC6E9A" w:rsidRPr="00E00090">
              <w:rPr>
                <w:sz w:val="20"/>
                <w:szCs w:val="20"/>
              </w:rPr>
              <w:t>tisagenlecleucelu.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DC6E9A" w:rsidRPr="00E00090">
              <w:rPr>
                <w:sz w:val="20"/>
                <w:szCs w:val="20"/>
              </w:rPr>
              <w:t>Przed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podaniem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aksykabtagenu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cyloleucelu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albo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tisagenlecleucelu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zaleca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się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zastosowanie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premedykacji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zgodnie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zapisami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Charakterystyk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Produkt</w:t>
            </w:r>
            <w:r w:rsidR="00054506" w:rsidRPr="00E00090">
              <w:rPr>
                <w:sz w:val="20"/>
                <w:szCs w:val="20"/>
              </w:rPr>
              <w:t>ów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Lecznic</w:t>
            </w:r>
            <w:r w:rsidR="00054506" w:rsidRPr="00E00090">
              <w:rPr>
                <w:sz w:val="20"/>
                <w:szCs w:val="20"/>
              </w:rPr>
              <w:t>zych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dla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tych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E65422" w:rsidRPr="00E00090">
              <w:rPr>
                <w:sz w:val="20"/>
                <w:szCs w:val="20"/>
              </w:rPr>
              <w:t>produktów.</w:t>
            </w:r>
          </w:p>
          <w:p w14:paraId="29955B62" w14:textId="71701C62" w:rsidR="00E65422" w:rsidRPr="00E00090" w:rsidRDefault="00E65422" w:rsidP="00E0009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Aksykabtagen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cyloleucelu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="006E226B" w:rsidRPr="00E00090">
              <w:rPr>
                <w:sz w:val="20"/>
                <w:szCs w:val="20"/>
              </w:rPr>
              <w:t>lub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tisagenlecleucel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muszą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być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podawane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wykwalifikowanym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ośrodku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posiadającym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certyfikację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Podmiotu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Odpowiedzialnego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zgodnie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wymogami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EMA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oraz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akceptację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MZ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pozytywnej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opinii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Krajowej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Rady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Transplantacyjnej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odnośnie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pobierania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wykorzystania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autologicznych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limfocytów.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Terapię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należy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rozpoczynać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pod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nadzorem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fachowego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personelu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medycznego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doświadczonego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leczeniu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nowotworów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układu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krwiotwórczego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chłonnego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oraz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przeszkolonego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w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podawaniu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postępowaniu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pacjentami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leczonymi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aksykabtagenem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cyloleucelu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lub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tisagenlecleucelem.</w:t>
            </w:r>
          </w:p>
          <w:p w14:paraId="6E1F51F8" w14:textId="429877D4" w:rsidR="00E65422" w:rsidRPr="00AE5EF0" w:rsidRDefault="00E65422" w:rsidP="00AE5EF0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7AE7865" w14:textId="3CB47652" w:rsidR="00E65422" w:rsidRPr="00AE5EF0" w:rsidRDefault="00E65422" w:rsidP="00E00090">
            <w:pPr>
              <w:pStyle w:val="Akapitzlist"/>
              <w:numPr>
                <w:ilvl w:val="0"/>
                <w:numId w:val="46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Specjalne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ostrzeżenia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środki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ostrożności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dotyczące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stosowania,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przechowywania,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przygotowania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usuwania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produktu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leczniczego</w:t>
            </w:r>
          </w:p>
          <w:p w14:paraId="6E39C6AC" w14:textId="6C3EAAC5" w:rsidR="00E65422" w:rsidRPr="00E00090" w:rsidRDefault="00E65422" w:rsidP="00E0009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E00090">
              <w:rPr>
                <w:sz w:val="20"/>
                <w:szCs w:val="20"/>
              </w:rPr>
              <w:t>Postępowanie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zgodnie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zapisami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Charakterystyk</w:t>
            </w:r>
            <w:r w:rsidR="00054506" w:rsidRPr="00E00090">
              <w:rPr>
                <w:sz w:val="20"/>
                <w:szCs w:val="20"/>
              </w:rPr>
              <w:t>i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Produkt</w:t>
            </w:r>
            <w:r w:rsidR="00054506" w:rsidRPr="00E00090">
              <w:rPr>
                <w:sz w:val="20"/>
                <w:szCs w:val="20"/>
              </w:rPr>
              <w:t>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Leczniczego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odpowiednio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dla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aksykabtagenu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cyloleucelu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albo</w:t>
            </w:r>
            <w:r w:rsidR="00C62CE7" w:rsidRPr="00E00090">
              <w:rPr>
                <w:sz w:val="20"/>
                <w:szCs w:val="20"/>
              </w:rPr>
              <w:t xml:space="preserve"> </w:t>
            </w:r>
            <w:r w:rsidRPr="00E00090">
              <w:rPr>
                <w:sz w:val="20"/>
                <w:szCs w:val="20"/>
              </w:rPr>
              <w:t>tisagenlecleucelu.</w:t>
            </w:r>
          </w:p>
          <w:p w14:paraId="4D0B6F8B" w14:textId="77777777" w:rsidR="000A4D83" w:rsidRPr="00AE5EF0" w:rsidRDefault="000A4D83" w:rsidP="00AE5EF0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CA6A391" w14:textId="77777777" w:rsidR="00E83F1B" w:rsidRPr="00AE5EF0" w:rsidRDefault="00E83F1B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</w:tcPr>
          <w:p w14:paraId="5BDD7125" w14:textId="5D474262" w:rsidR="0054414A" w:rsidRPr="00AE5EF0" w:rsidRDefault="00C90DC0" w:rsidP="00E0009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Badania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60C8A9" w14:textId="60AB18F4" w:rsidR="00C60965" w:rsidRPr="00AE5EF0" w:rsidRDefault="0054414A" w:rsidP="00E00090">
            <w:pPr>
              <w:pStyle w:val="Akapitzlist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B</w:t>
            </w:r>
            <w:r w:rsidR="00C60965" w:rsidRPr="00AE5EF0">
              <w:rPr>
                <w:b/>
                <w:bCs/>
                <w:sz w:val="20"/>
                <w:szCs w:val="20"/>
              </w:rPr>
              <w:t>adania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60965" w:rsidRPr="00AE5EF0">
              <w:rPr>
                <w:b/>
                <w:bCs/>
                <w:sz w:val="20"/>
                <w:szCs w:val="20"/>
              </w:rPr>
              <w:t>przy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60965" w:rsidRPr="00AE5EF0">
              <w:rPr>
                <w:b/>
                <w:bCs/>
                <w:sz w:val="20"/>
                <w:szCs w:val="20"/>
              </w:rPr>
              <w:t>kwalifikacji</w:t>
            </w:r>
          </w:p>
          <w:p w14:paraId="3A48E783" w14:textId="64437DCC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fizykalne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objawów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strony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centralnego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układu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nerwowego;</w:t>
            </w:r>
          </w:p>
          <w:p w14:paraId="5CF65916" w14:textId="4745F7C1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5F06D2" w:rsidRPr="00AE5EF0">
              <w:rPr>
                <w:sz w:val="20"/>
                <w:szCs w:val="20"/>
              </w:rPr>
              <w:t>(wzorem</w:t>
            </w:r>
            <w:r w:rsidR="00C62CE7">
              <w:rPr>
                <w:sz w:val="20"/>
                <w:szCs w:val="20"/>
              </w:rPr>
              <w:t xml:space="preserve"> </w:t>
            </w:r>
            <w:r w:rsidR="005F06D2" w:rsidRPr="00AE5EF0">
              <w:rPr>
                <w:sz w:val="20"/>
                <w:szCs w:val="20"/>
              </w:rPr>
              <w:t>odsetkowym)</w:t>
            </w:r>
            <w:r w:rsidRPr="00AE5EF0">
              <w:rPr>
                <w:sz w:val="20"/>
                <w:szCs w:val="20"/>
              </w:rPr>
              <w:t>;</w:t>
            </w:r>
          </w:p>
          <w:p w14:paraId="13E33E2A" w14:textId="1C53E9A6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funkcji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</w:t>
            </w:r>
            <w:r w:rsidR="00AE1C11" w:rsidRPr="00AE5EF0">
              <w:rPr>
                <w:sz w:val="20"/>
                <w:szCs w:val="20"/>
              </w:rPr>
              <w:t>AST,</w:t>
            </w:r>
            <w:r w:rsidR="00C62CE7">
              <w:rPr>
                <w:sz w:val="20"/>
                <w:szCs w:val="20"/>
              </w:rPr>
              <w:t xml:space="preserve"> </w:t>
            </w:r>
            <w:r w:rsidR="00AE1C11" w:rsidRPr="00AE5EF0">
              <w:rPr>
                <w:sz w:val="20"/>
                <w:szCs w:val="20"/>
              </w:rPr>
              <w:t>ALT</w:t>
            </w:r>
            <w:r w:rsidRPr="00AE5EF0">
              <w:rPr>
                <w:sz w:val="20"/>
                <w:szCs w:val="20"/>
              </w:rPr>
              <w:t>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bilirubiny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surowicy);</w:t>
            </w:r>
          </w:p>
          <w:p w14:paraId="42C17109" w14:textId="217A9C5C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funkcji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(stężenie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surowicy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klirens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kreatyniny);</w:t>
            </w:r>
          </w:p>
          <w:p w14:paraId="5594F93D" w14:textId="6FE16F6F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płynu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mózgowo-rdzeniowego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uzasadnionych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przypadkach);</w:t>
            </w:r>
          </w:p>
          <w:p w14:paraId="5E0A6A5F" w14:textId="1D3591BC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obrazowe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ośrodkowego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układu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nerwowego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(CT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NMR);</w:t>
            </w:r>
          </w:p>
          <w:p w14:paraId="0B750007" w14:textId="48573E0D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radiologiczne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potwierdzające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wznowę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oporność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choroby,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zastosowaniem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NMR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PET-CT;</w:t>
            </w:r>
          </w:p>
          <w:p w14:paraId="512FC574" w14:textId="4D316BDF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EKG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LVEF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wykonana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metodą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ECHO</w:t>
            </w:r>
            <w:r w:rsidR="006E226B" w:rsidRPr="00AE5EF0">
              <w:rPr>
                <w:sz w:val="20"/>
                <w:szCs w:val="20"/>
              </w:rPr>
              <w:t>/MUGA</w:t>
            </w:r>
            <w:r w:rsidRPr="00AE5EF0">
              <w:rPr>
                <w:sz w:val="20"/>
                <w:szCs w:val="20"/>
              </w:rPr>
              <w:t>;</w:t>
            </w:r>
          </w:p>
          <w:p w14:paraId="7256A7E1" w14:textId="48D769F9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test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ciążowy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kobiet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możliwością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zajścia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ciążę);</w:t>
            </w:r>
          </w:p>
          <w:p w14:paraId="74A50906" w14:textId="4D356B1D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test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HIV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(przeciwciała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anty-HIV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surowicy);</w:t>
            </w:r>
          </w:p>
          <w:p w14:paraId="277D0F3A" w14:textId="1CBECB85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oznaczenie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markerów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wirusa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zapalenia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typu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(HBsAg,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anty-HBc,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anty-HBs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dodatnich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anty-HBc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wykonać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HBV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DNA);</w:t>
            </w:r>
          </w:p>
          <w:p w14:paraId="2C1AA087" w14:textId="43A866D4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oznaczenie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markerów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wirusa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zapalenia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typu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(anty-HCV,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HCV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dodatnich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anty-HCV).</w:t>
            </w:r>
          </w:p>
          <w:p w14:paraId="5FA97D45" w14:textId="77777777" w:rsidR="00C90DC0" w:rsidRPr="00AE5EF0" w:rsidRDefault="00C90DC0" w:rsidP="00AE5EF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39440C90" w14:textId="26D5BC0E" w:rsidR="00C90DC0" w:rsidRPr="00AE5EF0" w:rsidRDefault="00E96FE6" w:rsidP="00E00090">
            <w:pPr>
              <w:pStyle w:val="Akapitzlist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B</w:t>
            </w:r>
            <w:r w:rsidR="00C90DC0" w:rsidRPr="00AE5EF0">
              <w:rPr>
                <w:b/>
                <w:bCs/>
                <w:sz w:val="20"/>
                <w:szCs w:val="20"/>
              </w:rPr>
              <w:t>adania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bezpośrednio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przed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podanie</w:t>
            </w:r>
            <w:r w:rsidR="00C60965" w:rsidRPr="00AE5EF0">
              <w:rPr>
                <w:b/>
                <w:bCs/>
                <w:sz w:val="20"/>
                <w:szCs w:val="20"/>
              </w:rPr>
              <w:t>m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aksykabtagenu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cyloleucelu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albo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tisagenlecleucelu</w:t>
            </w:r>
          </w:p>
          <w:p w14:paraId="7D6DAAFB" w14:textId="45A070D6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(wzorem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odsetkowym);</w:t>
            </w:r>
          </w:p>
          <w:p w14:paraId="21761FAD" w14:textId="686E305F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białka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ostrej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fazy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(CRP,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ferrytyna);</w:t>
            </w:r>
          </w:p>
          <w:p w14:paraId="3F150D3F" w14:textId="407A6D3A" w:rsidR="00C90DC0" w:rsidRPr="00AE5EF0" w:rsidRDefault="002B1083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oznaczenie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parametr</w:t>
            </w:r>
            <w:r w:rsidRPr="00AE5EF0">
              <w:rPr>
                <w:sz w:val="20"/>
                <w:szCs w:val="20"/>
              </w:rPr>
              <w:t>ów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krzepnięcia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(PT,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aPTT,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INR,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fibrynogen);</w:t>
            </w:r>
          </w:p>
          <w:p w14:paraId="61348347" w14:textId="020222CF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funkcji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nerek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(jak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wyżej);</w:t>
            </w:r>
          </w:p>
          <w:p w14:paraId="4BF2DE56" w14:textId="58FBEC2F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ocena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funkcji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wątroby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(jak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wyżej).</w:t>
            </w:r>
          </w:p>
          <w:p w14:paraId="52FF0803" w14:textId="77777777" w:rsidR="00C60965" w:rsidRPr="00AE5EF0" w:rsidRDefault="00C60965" w:rsidP="00AE5EF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5A0446DA" w14:textId="68814751" w:rsidR="00C90DC0" w:rsidRPr="00AE5EF0" w:rsidRDefault="00C60965" w:rsidP="00E00090">
            <w:pPr>
              <w:pStyle w:val="Akapitzlist"/>
              <w:numPr>
                <w:ilvl w:val="1"/>
                <w:numId w:val="47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B</w:t>
            </w:r>
            <w:r w:rsidR="00C90DC0" w:rsidRPr="00AE5EF0">
              <w:rPr>
                <w:b/>
                <w:bCs/>
                <w:sz w:val="20"/>
                <w:szCs w:val="20"/>
              </w:rPr>
              <w:t>adania</w:t>
            </w:r>
            <w:r w:rsidR="00C62CE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C62CE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color w:val="000000" w:themeColor="text1"/>
                <w:sz w:val="20"/>
                <w:szCs w:val="20"/>
              </w:rPr>
              <w:t>dniu</w:t>
            </w:r>
            <w:r w:rsidR="00C62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color w:val="000000" w:themeColor="text1"/>
                <w:sz w:val="20"/>
                <w:szCs w:val="20"/>
              </w:rPr>
              <w:t>następnym</w:t>
            </w:r>
            <w:r w:rsidR="00C62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C62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color w:val="000000" w:themeColor="text1"/>
                <w:sz w:val="20"/>
                <w:szCs w:val="20"/>
              </w:rPr>
              <w:t>podaniu</w:t>
            </w:r>
            <w:r w:rsidR="00C62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aksykabtagenu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cyloleucelu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albo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C90DC0" w:rsidRPr="00AE5EF0">
              <w:rPr>
                <w:b/>
                <w:bCs/>
                <w:sz w:val="20"/>
                <w:szCs w:val="20"/>
              </w:rPr>
              <w:t>tisagenlecleucelu</w:t>
            </w:r>
          </w:p>
          <w:p w14:paraId="037DB62C" w14:textId="21FF59C4" w:rsidR="00C90DC0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rozmazem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(wzorem</w:t>
            </w:r>
            <w:r w:rsidR="00C62CE7">
              <w:rPr>
                <w:sz w:val="20"/>
                <w:szCs w:val="20"/>
              </w:rPr>
              <w:t xml:space="preserve"> </w:t>
            </w:r>
            <w:r w:rsidR="000008A6" w:rsidRPr="00AE5EF0">
              <w:rPr>
                <w:sz w:val="20"/>
                <w:szCs w:val="20"/>
              </w:rPr>
              <w:t>odsetkowym);</w:t>
            </w:r>
          </w:p>
          <w:p w14:paraId="22860660" w14:textId="13AD3A60" w:rsidR="00C90DC0" w:rsidRPr="00AE5EF0" w:rsidRDefault="002B1083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oznaczenie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parametrów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krzepnięcia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(PT,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aPTT,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INR,</w:t>
            </w:r>
            <w:r w:rsidR="00C62CE7">
              <w:rPr>
                <w:sz w:val="20"/>
                <w:szCs w:val="20"/>
              </w:rPr>
              <w:t xml:space="preserve"> </w:t>
            </w:r>
            <w:r w:rsidR="000B59FE" w:rsidRPr="00AE5EF0">
              <w:rPr>
                <w:sz w:val="20"/>
                <w:szCs w:val="20"/>
              </w:rPr>
              <w:t>D-dimer,</w:t>
            </w:r>
            <w:r w:rsidR="00C62CE7">
              <w:rPr>
                <w:sz w:val="20"/>
                <w:szCs w:val="20"/>
              </w:rPr>
              <w:t xml:space="preserve"> </w:t>
            </w:r>
            <w:r w:rsidR="00C90DC0" w:rsidRPr="00AE5EF0">
              <w:rPr>
                <w:sz w:val="20"/>
                <w:szCs w:val="20"/>
              </w:rPr>
              <w:t>fibrynogen);</w:t>
            </w:r>
          </w:p>
          <w:p w14:paraId="13197528" w14:textId="65C4294E" w:rsidR="00C60965" w:rsidRPr="00AE5EF0" w:rsidRDefault="00C90DC0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dodatkowo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sytuacji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podejrzenia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wystąpienia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zespołu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uwalniania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cytokin</w:t>
            </w:r>
            <w:r w:rsidR="00C62CE7">
              <w:rPr>
                <w:sz w:val="20"/>
                <w:szCs w:val="20"/>
              </w:rPr>
              <w:t xml:space="preserve"> </w:t>
            </w:r>
            <w:r w:rsidR="002B1083" w:rsidRPr="00AE5EF0">
              <w:rPr>
                <w:sz w:val="20"/>
                <w:szCs w:val="20"/>
              </w:rPr>
              <w:t>(CRS)</w:t>
            </w:r>
            <w:r w:rsidRPr="00AE5EF0">
              <w:rPr>
                <w:sz w:val="20"/>
                <w:szCs w:val="20"/>
              </w:rPr>
              <w:t>: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CRP,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ferrytyna</w:t>
            </w:r>
            <w:r w:rsidR="00B5059B" w:rsidRPr="00AE5EF0">
              <w:rPr>
                <w:sz w:val="20"/>
                <w:szCs w:val="20"/>
              </w:rPr>
              <w:t>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LDH</w:t>
            </w:r>
            <w:r w:rsidR="00B5059B" w:rsidRPr="00AE5EF0">
              <w:rPr>
                <w:sz w:val="20"/>
                <w:szCs w:val="20"/>
              </w:rPr>
              <w:t>.</w:t>
            </w:r>
          </w:p>
          <w:p w14:paraId="2D16D4FD" w14:textId="77777777" w:rsidR="00C60965" w:rsidRPr="00AE5EF0" w:rsidRDefault="00C60965" w:rsidP="00AE5EF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664B88BF" w14:textId="6BD37434" w:rsidR="00C60965" w:rsidRPr="00AE5EF0" w:rsidRDefault="00C60965" w:rsidP="00E0009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Monitorowanie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72C08523" w14:textId="0A1739E8" w:rsidR="00C60965" w:rsidRPr="00AE5EF0" w:rsidRDefault="00C60965" w:rsidP="00E00090">
            <w:pPr>
              <w:pStyle w:val="Akapitzlist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Monitorowanie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bezpieczeństwa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po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podaniu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CAR-T</w:t>
            </w:r>
          </w:p>
          <w:p w14:paraId="3846F8B7" w14:textId="6D656638" w:rsidR="003C3832" w:rsidRPr="00AE5EF0" w:rsidRDefault="003C3832" w:rsidP="00E00090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codzienne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monitorowanie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kątem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wystąpienia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objawów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podmiotowych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przedmiotowych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CRS;</w:t>
            </w:r>
          </w:p>
          <w:p w14:paraId="2B537340" w14:textId="14F9A4F1" w:rsidR="003C3832" w:rsidRPr="00AE5EF0" w:rsidRDefault="003C3832" w:rsidP="00E00090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podejrzenia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wystąpienia</w:t>
            </w:r>
            <w:r w:rsidR="00C62CE7">
              <w:rPr>
                <w:sz w:val="20"/>
                <w:szCs w:val="20"/>
              </w:rPr>
              <w:t xml:space="preserve"> </w:t>
            </w:r>
            <w:r w:rsidR="002B1083" w:rsidRPr="00AE5EF0">
              <w:rPr>
                <w:sz w:val="20"/>
                <w:szCs w:val="20"/>
              </w:rPr>
              <w:t>CRS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należy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uzasadnionych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przypadkach)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wykonywać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badania: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CRP,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ferrytyna,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fibrynogen,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LDH,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aPTT,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INR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D-dimer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(przy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zaistnieniu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wskazań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wykonywać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nimi);</w:t>
            </w:r>
          </w:p>
          <w:p w14:paraId="4CF74B22" w14:textId="1CC49E16" w:rsidR="003C3832" w:rsidRPr="00AE5EF0" w:rsidRDefault="003C3832" w:rsidP="00E00090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po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upływie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pierwszych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10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dni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infuzji,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dalszym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monitorowaniu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kątem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CRS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decyduje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lekarz;</w:t>
            </w:r>
          </w:p>
          <w:p w14:paraId="330226A6" w14:textId="3F6FD354" w:rsidR="003C3832" w:rsidRPr="00AE5EF0" w:rsidRDefault="003C3832" w:rsidP="00E00090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morfologia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krwi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obwodowej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badania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biochemiczne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(AST,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ALT,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bilirubina,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mocznik,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kreatynina,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elektrolity)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-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najmniej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2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razy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tygodniu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ciągu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pierwszych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2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tygodni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podania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aksykabtagenu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cyloleucel</w:t>
            </w:r>
            <w:r w:rsidR="002B1083" w:rsidRPr="00AE5EF0">
              <w:rPr>
                <w:sz w:val="20"/>
                <w:szCs w:val="20"/>
              </w:rPr>
              <w:t>u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albo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tisagenlecleucelu,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a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następnie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zależności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od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sytuacji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klinicznej.</w:t>
            </w:r>
          </w:p>
          <w:p w14:paraId="08505A1F" w14:textId="5580E36C" w:rsidR="003C3832" w:rsidRPr="00AE5EF0" w:rsidRDefault="003C3832" w:rsidP="00AE5EF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CA190B5" w14:textId="62F3D21C" w:rsidR="003C3832" w:rsidRPr="00AE5EF0" w:rsidRDefault="003C3832" w:rsidP="00E00090">
            <w:pPr>
              <w:pStyle w:val="Akapitzlist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E5EF0">
              <w:rPr>
                <w:b/>
                <w:bCs/>
                <w:sz w:val="20"/>
                <w:szCs w:val="20"/>
              </w:rPr>
              <w:t>Monitorowanie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skuteczności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E5EF0">
              <w:rPr>
                <w:b/>
                <w:bCs/>
                <w:sz w:val="20"/>
                <w:szCs w:val="20"/>
              </w:rPr>
              <w:t>leczenia</w:t>
            </w:r>
          </w:p>
          <w:p w14:paraId="2FDDC5AC" w14:textId="36E46E3F" w:rsidR="00E83F1B" w:rsidRPr="00AE5EF0" w:rsidRDefault="002779AA" w:rsidP="00E00090">
            <w:pPr>
              <w:pStyle w:val="Akapitzlist"/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E5EF0">
              <w:rPr>
                <w:sz w:val="20"/>
                <w:szCs w:val="20"/>
              </w:rPr>
              <w:t>co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3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miesiące</w:t>
            </w:r>
            <w:r w:rsidR="00C62CE7">
              <w:rPr>
                <w:sz w:val="20"/>
                <w:szCs w:val="20"/>
              </w:rPr>
              <w:t xml:space="preserve"> </w:t>
            </w:r>
            <w:r w:rsidR="00074370" w:rsidRPr="00AE5EF0">
              <w:rPr>
                <w:sz w:val="20"/>
                <w:szCs w:val="20"/>
              </w:rPr>
              <w:t>–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monitorowanie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zastosowaniem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CT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NMR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PET-CT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przez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okres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12</w:t>
            </w:r>
            <w:r w:rsidR="00C62CE7">
              <w:rPr>
                <w:sz w:val="20"/>
                <w:szCs w:val="20"/>
              </w:rPr>
              <w:t xml:space="preserve"> </w:t>
            </w:r>
            <w:r w:rsidRPr="00AE5EF0">
              <w:rPr>
                <w:sz w:val="20"/>
                <w:szCs w:val="20"/>
              </w:rPr>
              <w:t>miesięcy</w:t>
            </w:r>
            <w:r w:rsidR="00C62CE7">
              <w:rPr>
                <w:sz w:val="20"/>
                <w:szCs w:val="20"/>
              </w:rPr>
              <w:t xml:space="preserve"> </w:t>
            </w:r>
            <w:r w:rsidR="00934E8E" w:rsidRPr="00AE5EF0">
              <w:rPr>
                <w:sz w:val="20"/>
                <w:szCs w:val="20"/>
              </w:rPr>
              <w:t>od</w:t>
            </w:r>
            <w:r w:rsidR="00C62CE7">
              <w:rPr>
                <w:sz w:val="20"/>
                <w:szCs w:val="20"/>
              </w:rPr>
              <w:t xml:space="preserve"> </w:t>
            </w:r>
            <w:r w:rsidR="00934E8E" w:rsidRPr="00AE5EF0">
              <w:rPr>
                <w:sz w:val="20"/>
                <w:szCs w:val="20"/>
              </w:rPr>
              <w:t>podania</w:t>
            </w:r>
            <w:r w:rsidR="00C62CE7">
              <w:rPr>
                <w:sz w:val="20"/>
                <w:szCs w:val="20"/>
              </w:rPr>
              <w:t xml:space="preserve"> </w:t>
            </w:r>
            <w:r w:rsidR="00934E8E" w:rsidRPr="00AE5EF0">
              <w:rPr>
                <w:sz w:val="20"/>
                <w:szCs w:val="20"/>
              </w:rPr>
              <w:t>CAR-T.</w:t>
            </w:r>
          </w:p>
        </w:tc>
      </w:tr>
      <w:tr w:rsidR="00E83F1B" w:rsidRPr="007E3BCE" w14:paraId="7BA9870A" w14:textId="77777777" w:rsidTr="00EB5DFC">
        <w:trPr>
          <w:trHeight w:val="20"/>
        </w:trPr>
        <w:tc>
          <w:tcPr>
            <w:tcW w:w="5665" w:type="dxa"/>
          </w:tcPr>
          <w:p w14:paraId="57BBAB52" w14:textId="77777777" w:rsidR="00E83F1B" w:rsidRPr="00AC7C23" w:rsidRDefault="00E83F1B" w:rsidP="00AC7C23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</w:tcPr>
          <w:p w14:paraId="55A84FD1" w14:textId="77777777" w:rsidR="00E83F1B" w:rsidRPr="00AC7C23" w:rsidRDefault="00E83F1B" w:rsidP="00AC7C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</w:tcPr>
          <w:p w14:paraId="16192D58" w14:textId="4DF2740D" w:rsidR="00003865" w:rsidRPr="00AC7C23" w:rsidRDefault="00E83F1B" w:rsidP="00E0009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AC7C23">
              <w:rPr>
                <w:b/>
                <w:bCs/>
                <w:sz w:val="20"/>
                <w:szCs w:val="20"/>
              </w:rPr>
              <w:t>Monitorowanie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Pr="00AC7C23">
              <w:rPr>
                <w:b/>
                <w:bCs/>
                <w:sz w:val="20"/>
                <w:szCs w:val="20"/>
              </w:rPr>
              <w:t>programu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–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DOTYCZY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KAŻDEJ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Z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CZĘŚCI</w:t>
            </w:r>
            <w:r w:rsidR="00C62CE7">
              <w:rPr>
                <w:b/>
                <w:bCs/>
                <w:sz w:val="20"/>
                <w:szCs w:val="20"/>
              </w:rPr>
              <w:t xml:space="preserve"> </w:t>
            </w:r>
            <w:r w:rsidR="00F328D6">
              <w:rPr>
                <w:b/>
                <w:bCs/>
                <w:sz w:val="20"/>
                <w:szCs w:val="20"/>
              </w:rPr>
              <w:t>PROGRAMU</w:t>
            </w:r>
          </w:p>
          <w:p w14:paraId="52B7EB3A" w14:textId="77240794" w:rsidR="00030376" w:rsidRPr="00AC7C23" w:rsidRDefault="00E83F1B" w:rsidP="00E00090">
            <w:pPr>
              <w:pStyle w:val="Akapitzlist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gromadzenie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dokumentacji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medycznej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pacjenta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dotyczących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monitorowania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każdorazowe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przedstawianie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żądanie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kontrolerów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Narodowego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Funduszu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Zdrowia;</w:t>
            </w:r>
          </w:p>
          <w:p w14:paraId="1062CE95" w14:textId="0DA1C851" w:rsidR="00030376" w:rsidRPr="00AC7C23" w:rsidRDefault="00E83F1B" w:rsidP="00E00090">
            <w:pPr>
              <w:pStyle w:val="Akapitzlist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uzupełnianie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danych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zawartych</w:t>
            </w:r>
            <w:r w:rsidR="00C62CE7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elektronicznym</w:t>
            </w:r>
            <w:r w:rsidR="00C62CE7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systemie</w:t>
            </w:r>
            <w:r w:rsidR="00C62CE7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monitorowania</w:t>
            </w:r>
            <w:r w:rsidR="00C62CE7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programów</w:t>
            </w:r>
            <w:r w:rsidR="00C62CE7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lekowych</w:t>
            </w:r>
            <w:r w:rsidR="00C62CE7">
              <w:rPr>
                <w:sz w:val="20"/>
                <w:szCs w:val="20"/>
              </w:rPr>
              <w:t xml:space="preserve"> </w:t>
            </w:r>
            <w:r w:rsidR="00706510" w:rsidRPr="00AC7C23">
              <w:rPr>
                <w:sz w:val="20"/>
                <w:szCs w:val="20"/>
              </w:rPr>
              <w:t>(SMPT)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pomocą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aplikacji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internetowej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udostępnionej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OW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NFZ,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częstotliwością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zgodną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opisem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programu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oraz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na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zakończenie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leczenia;</w:t>
            </w:r>
          </w:p>
          <w:p w14:paraId="19B72994" w14:textId="651DF0D4" w:rsidR="00E83F1B" w:rsidRDefault="00E83F1B" w:rsidP="00E00090">
            <w:pPr>
              <w:pStyle w:val="Akapitzlist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AC7C23">
              <w:rPr>
                <w:sz w:val="20"/>
                <w:szCs w:val="20"/>
              </w:rPr>
              <w:t>przekazywanie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informacji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sprawozdawczo-rozliczeniowych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NFZ: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informacje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przekazuje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się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do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NFZ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formie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papierowej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lub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formie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elektronicznej,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zgodnie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z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wymaganiami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opublikowanymi</w:t>
            </w:r>
            <w:r w:rsidR="00C62CE7">
              <w:rPr>
                <w:sz w:val="20"/>
                <w:szCs w:val="20"/>
              </w:rPr>
              <w:t xml:space="preserve"> </w:t>
            </w:r>
            <w:r w:rsidRPr="00AC7C23">
              <w:rPr>
                <w:sz w:val="20"/>
                <w:szCs w:val="20"/>
              </w:rPr>
              <w:t>przez</w:t>
            </w:r>
            <w:r w:rsidR="00C62CE7">
              <w:rPr>
                <w:sz w:val="20"/>
                <w:szCs w:val="20"/>
              </w:rPr>
              <w:t xml:space="preserve"> </w:t>
            </w:r>
            <w:r w:rsidR="00E00090">
              <w:rPr>
                <w:sz w:val="20"/>
                <w:szCs w:val="20"/>
              </w:rPr>
              <w:t>NFZ</w:t>
            </w:r>
            <w:r w:rsidRPr="00AC7C23">
              <w:rPr>
                <w:sz w:val="20"/>
                <w:szCs w:val="20"/>
              </w:rPr>
              <w:t>.</w:t>
            </w:r>
          </w:p>
          <w:p w14:paraId="350AD566" w14:textId="1D7B2E97" w:rsidR="003C4635" w:rsidRPr="00AC7C23" w:rsidRDefault="003C4635" w:rsidP="003C4635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</w:tc>
      </w:tr>
    </w:tbl>
    <w:p w14:paraId="69306A2E" w14:textId="77777777" w:rsidR="00221D34" w:rsidRPr="00221D34" w:rsidRDefault="00221D34" w:rsidP="00D86B37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sectPr w:rsidR="00221D34" w:rsidRPr="00221D34" w:rsidSect="001D700D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48A2" w14:textId="77777777" w:rsidR="00377ADC" w:rsidRDefault="00377ADC" w:rsidP="00146020">
      <w:r>
        <w:separator/>
      </w:r>
    </w:p>
  </w:endnote>
  <w:endnote w:type="continuationSeparator" w:id="0">
    <w:p w14:paraId="1FFF5A8F" w14:textId="77777777" w:rsidR="00377ADC" w:rsidRDefault="00377ADC" w:rsidP="001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985D" w14:textId="77777777" w:rsidR="00377ADC" w:rsidRDefault="00377ADC" w:rsidP="00146020">
      <w:r>
        <w:separator/>
      </w:r>
    </w:p>
  </w:footnote>
  <w:footnote w:type="continuationSeparator" w:id="0">
    <w:p w14:paraId="75EAFA20" w14:textId="77777777" w:rsidR="00377ADC" w:rsidRDefault="00377ADC" w:rsidP="0014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20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4C76C0D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6505E35"/>
    <w:multiLevelType w:val="multilevel"/>
    <w:tmpl w:val="9FAAA8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8001FF9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9181DB5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0B7A098C"/>
    <w:multiLevelType w:val="multilevel"/>
    <w:tmpl w:val="86AA92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ascii="Times New Roman" w:eastAsia="Times New Roman" w:hAnsi="Times New Roman" w:cs="Times New Roman" w:hint="default"/>
        <w:b w:val="0"/>
        <w:bCs w:val="0"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0B894257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0EDD6479"/>
    <w:multiLevelType w:val="multilevel"/>
    <w:tmpl w:val="BCFEE5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2F319C8"/>
    <w:multiLevelType w:val="hybridMultilevel"/>
    <w:tmpl w:val="D16A7304"/>
    <w:lvl w:ilvl="0" w:tplc="59FC6F0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662458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DEF"/>
    <w:multiLevelType w:val="multilevel"/>
    <w:tmpl w:val="C574A8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16D775AD"/>
    <w:multiLevelType w:val="hybridMultilevel"/>
    <w:tmpl w:val="9ECC79D4"/>
    <w:lvl w:ilvl="0" w:tplc="37063E74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06AF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22501E15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5847E1C"/>
    <w:multiLevelType w:val="hybridMultilevel"/>
    <w:tmpl w:val="D0724120"/>
    <w:lvl w:ilvl="0" w:tplc="37F880BA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802"/>
    <w:multiLevelType w:val="multilevel"/>
    <w:tmpl w:val="0324EEE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A25406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2C963603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2CE2233D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2E8735E7"/>
    <w:multiLevelType w:val="multilevel"/>
    <w:tmpl w:val="610C65AE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2EE37E97"/>
    <w:multiLevelType w:val="multilevel"/>
    <w:tmpl w:val="FF10D2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31B23E0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35C44F63"/>
    <w:multiLevelType w:val="multilevel"/>
    <w:tmpl w:val="AAF2850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399127E8"/>
    <w:multiLevelType w:val="multilevel"/>
    <w:tmpl w:val="18328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3D31482A"/>
    <w:multiLevelType w:val="multilevel"/>
    <w:tmpl w:val="BF2438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458E115E"/>
    <w:multiLevelType w:val="multilevel"/>
    <w:tmpl w:val="2252F3DC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477A5D16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6" w15:restartNumberingAfterBreak="0">
    <w:nsid w:val="47C059A1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485B05F4"/>
    <w:multiLevelType w:val="multilevel"/>
    <w:tmpl w:val="9B4A04F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1E2D97"/>
    <w:multiLevelType w:val="multilevel"/>
    <w:tmpl w:val="F574FDA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A9E40D8"/>
    <w:multiLevelType w:val="multilevel"/>
    <w:tmpl w:val="9FAAA8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4C604ACD"/>
    <w:multiLevelType w:val="multilevel"/>
    <w:tmpl w:val="5358B3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1" w15:restartNumberingAfterBreak="0">
    <w:nsid w:val="4F0C383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519575A8"/>
    <w:multiLevelType w:val="multilevel"/>
    <w:tmpl w:val="BFCA2D6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3" w15:restartNumberingAfterBreak="0">
    <w:nsid w:val="5AF00248"/>
    <w:multiLevelType w:val="multilevel"/>
    <w:tmpl w:val="3F0AEF7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4" w15:restartNumberingAfterBreak="0">
    <w:nsid w:val="5C71367B"/>
    <w:multiLevelType w:val="multilevel"/>
    <w:tmpl w:val="0C3CA3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 w:val="0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5" w15:restartNumberingAfterBreak="0">
    <w:nsid w:val="6665002A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6" w15:restartNumberingAfterBreak="0">
    <w:nsid w:val="67353830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7" w15:restartNumberingAfterBreak="0">
    <w:nsid w:val="6D440DE3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8" w15:restartNumberingAfterBreak="0">
    <w:nsid w:val="6F7C49F8"/>
    <w:multiLevelType w:val="multilevel"/>
    <w:tmpl w:val="BCFEE5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9" w15:restartNumberingAfterBreak="0">
    <w:nsid w:val="7016564F"/>
    <w:multiLevelType w:val="multilevel"/>
    <w:tmpl w:val="B4386CE4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ascii="Times New Roman" w:eastAsia="Times New Roman" w:hAnsi="Times New Roman" w:cs="Times New Roman" w:hint="default"/>
        <w:b w:val="0"/>
        <w:bCs w:val="0"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0" w15:restartNumberingAfterBreak="0">
    <w:nsid w:val="732B12C7"/>
    <w:multiLevelType w:val="multilevel"/>
    <w:tmpl w:val="F9B8C7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1" w15:restartNumberingAfterBreak="0">
    <w:nsid w:val="75727AE6"/>
    <w:multiLevelType w:val="multilevel"/>
    <w:tmpl w:val="E424C146"/>
    <w:lvl w:ilvl="0">
      <w:start w:val="4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30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2" w15:restartNumberingAfterBreak="0">
    <w:nsid w:val="75F5159B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3" w15:restartNumberingAfterBreak="0">
    <w:nsid w:val="7BB10DEC"/>
    <w:multiLevelType w:val="multilevel"/>
    <w:tmpl w:val="BCFEE5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4" w15:restartNumberingAfterBreak="0">
    <w:nsid w:val="7E5E3B18"/>
    <w:multiLevelType w:val="multilevel"/>
    <w:tmpl w:val="539ABEC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5" w15:restartNumberingAfterBreak="0">
    <w:nsid w:val="7ED57955"/>
    <w:multiLevelType w:val="multilevel"/>
    <w:tmpl w:val="4A4CAC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30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6" w15:restartNumberingAfterBreak="0">
    <w:nsid w:val="7FFE1639"/>
    <w:multiLevelType w:val="multilevel"/>
    <w:tmpl w:val="0C3CA3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 w:val="0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54360344">
    <w:abstractNumId w:val="30"/>
  </w:num>
  <w:num w:numId="2" w16cid:durableId="578174366">
    <w:abstractNumId w:val="5"/>
  </w:num>
  <w:num w:numId="3" w16cid:durableId="1146050813">
    <w:abstractNumId w:val="0"/>
  </w:num>
  <w:num w:numId="4" w16cid:durableId="223151400">
    <w:abstractNumId w:val="25"/>
  </w:num>
  <w:num w:numId="5" w16cid:durableId="1989086343">
    <w:abstractNumId w:val="17"/>
  </w:num>
  <w:num w:numId="6" w16cid:durableId="775292726">
    <w:abstractNumId w:val="15"/>
  </w:num>
  <w:num w:numId="7" w16cid:durableId="1040324796">
    <w:abstractNumId w:val="21"/>
  </w:num>
  <w:num w:numId="8" w16cid:durableId="1461529816">
    <w:abstractNumId w:val="12"/>
  </w:num>
  <w:num w:numId="9" w16cid:durableId="1464276489">
    <w:abstractNumId w:val="18"/>
  </w:num>
  <w:num w:numId="10" w16cid:durableId="1669138757">
    <w:abstractNumId w:val="31"/>
  </w:num>
  <w:num w:numId="11" w16cid:durableId="974215236">
    <w:abstractNumId w:val="20"/>
  </w:num>
  <w:num w:numId="12" w16cid:durableId="1930037377">
    <w:abstractNumId w:val="45"/>
  </w:num>
  <w:num w:numId="13" w16cid:durableId="1214730691">
    <w:abstractNumId w:val="33"/>
  </w:num>
  <w:num w:numId="14" w16cid:durableId="207574602">
    <w:abstractNumId w:val="9"/>
  </w:num>
  <w:num w:numId="15" w16cid:durableId="290670134">
    <w:abstractNumId w:val="41"/>
  </w:num>
  <w:num w:numId="16" w16cid:durableId="252857099">
    <w:abstractNumId w:val="32"/>
  </w:num>
  <w:num w:numId="17" w16cid:durableId="1620450051">
    <w:abstractNumId w:val="28"/>
  </w:num>
  <w:num w:numId="18" w16cid:durableId="959843549">
    <w:abstractNumId w:val="29"/>
  </w:num>
  <w:num w:numId="19" w16cid:durableId="571894438">
    <w:abstractNumId w:val="2"/>
  </w:num>
  <w:num w:numId="20" w16cid:durableId="907038211">
    <w:abstractNumId w:val="24"/>
  </w:num>
  <w:num w:numId="21" w16cid:durableId="1813407724">
    <w:abstractNumId w:val="27"/>
  </w:num>
  <w:num w:numId="22" w16cid:durableId="1329403923">
    <w:abstractNumId w:val="46"/>
  </w:num>
  <w:num w:numId="23" w16cid:durableId="1396003018">
    <w:abstractNumId w:val="8"/>
  </w:num>
  <w:num w:numId="24" w16cid:durableId="1020399780">
    <w:abstractNumId w:val="34"/>
  </w:num>
  <w:num w:numId="25" w16cid:durableId="1387725032">
    <w:abstractNumId w:val="16"/>
  </w:num>
  <w:num w:numId="26" w16cid:durableId="953946153">
    <w:abstractNumId w:val="10"/>
  </w:num>
  <w:num w:numId="27" w16cid:durableId="218981780">
    <w:abstractNumId w:val="14"/>
  </w:num>
  <w:num w:numId="28" w16cid:durableId="1168061807">
    <w:abstractNumId w:val="13"/>
  </w:num>
  <w:num w:numId="29" w16cid:durableId="520243253">
    <w:abstractNumId w:val="39"/>
  </w:num>
  <w:num w:numId="30" w16cid:durableId="1040396952">
    <w:abstractNumId w:val="19"/>
  </w:num>
  <w:num w:numId="31" w16cid:durableId="795830581">
    <w:abstractNumId w:val="40"/>
  </w:num>
  <w:num w:numId="32" w16cid:durableId="1116407800">
    <w:abstractNumId w:val="42"/>
  </w:num>
  <w:num w:numId="33" w16cid:durableId="1641835980">
    <w:abstractNumId w:val="43"/>
  </w:num>
  <w:num w:numId="34" w16cid:durableId="293602009">
    <w:abstractNumId w:val="35"/>
  </w:num>
  <w:num w:numId="35" w16cid:durableId="1678728884">
    <w:abstractNumId w:val="36"/>
  </w:num>
  <w:num w:numId="36" w16cid:durableId="359819690">
    <w:abstractNumId w:val="22"/>
  </w:num>
  <w:num w:numId="37" w16cid:durableId="1301108564">
    <w:abstractNumId w:val="44"/>
  </w:num>
  <w:num w:numId="38" w16cid:durableId="1645701655">
    <w:abstractNumId w:val="4"/>
  </w:num>
  <w:num w:numId="39" w16cid:durableId="363988631">
    <w:abstractNumId w:val="11"/>
  </w:num>
  <w:num w:numId="40" w16cid:durableId="739793605">
    <w:abstractNumId w:val="26"/>
  </w:num>
  <w:num w:numId="41" w16cid:durableId="800030587">
    <w:abstractNumId w:val="7"/>
  </w:num>
  <w:num w:numId="42" w16cid:durableId="1710254531">
    <w:abstractNumId w:val="38"/>
  </w:num>
  <w:num w:numId="43" w16cid:durableId="1088189751">
    <w:abstractNumId w:val="3"/>
  </w:num>
  <w:num w:numId="44" w16cid:durableId="643395072">
    <w:abstractNumId w:val="23"/>
  </w:num>
  <w:num w:numId="45" w16cid:durableId="924918752">
    <w:abstractNumId w:val="6"/>
  </w:num>
  <w:num w:numId="46" w16cid:durableId="1662587050">
    <w:abstractNumId w:val="37"/>
  </w:num>
  <w:num w:numId="47" w16cid:durableId="2357528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08A6"/>
    <w:rsid w:val="00001AF1"/>
    <w:rsid w:val="00003865"/>
    <w:rsid w:val="000038D2"/>
    <w:rsid w:val="00011D31"/>
    <w:rsid w:val="0001233A"/>
    <w:rsid w:val="00013022"/>
    <w:rsid w:val="00021178"/>
    <w:rsid w:val="000219CE"/>
    <w:rsid w:val="000221CA"/>
    <w:rsid w:val="00022FF1"/>
    <w:rsid w:val="00025502"/>
    <w:rsid w:val="00030376"/>
    <w:rsid w:val="00037337"/>
    <w:rsid w:val="00037F25"/>
    <w:rsid w:val="00054506"/>
    <w:rsid w:val="00055C9C"/>
    <w:rsid w:val="00061D11"/>
    <w:rsid w:val="000634DB"/>
    <w:rsid w:val="00067372"/>
    <w:rsid w:val="000733DB"/>
    <w:rsid w:val="00074370"/>
    <w:rsid w:val="00074E54"/>
    <w:rsid w:val="00084AF5"/>
    <w:rsid w:val="00087A0A"/>
    <w:rsid w:val="000A430D"/>
    <w:rsid w:val="000A4D83"/>
    <w:rsid w:val="000B0404"/>
    <w:rsid w:val="000B1B2F"/>
    <w:rsid w:val="000B59FE"/>
    <w:rsid w:val="000B7019"/>
    <w:rsid w:val="000C569D"/>
    <w:rsid w:val="000C5BCE"/>
    <w:rsid w:val="000D03E5"/>
    <w:rsid w:val="000D5B02"/>
    <w:rsid w:val="000D5E6F"/>
    <w:rsid w:val="000E4304"/>
    <w:rsid w:val="000F1683"/>
    <w:rsid w:val="000F18A1"/>
    <w:rsid w:val="000F4B79"/>
    <w:rsid w:val="000F6C82"/>
    <w:rsid w:val="00100229"/>
    <w:rsid w:val="00104BE3"/>
    <w:rsid w:val="00107B9A"/>
    <w:rsid w:val="00120B9F"/>
    <w:rsid w:val="001210F0"/>
    <w:rsid w:val="00141414"/>
    <w:rsid w:val="00144C47"/>
    <w:rsid w:val="00146020"/>
    <w:rsid w:val="00146C35"/>
    <w:rsid w:val="00153CEE"/>
    <w:rsid w:val="00175752"/>
    <w:rsid w:val="00176CDE"/>
    <w:rsid w:val="001825E2"/>
    <w:rsid w:val="00187D6D"/>
    <w:rsid w:val="00191E0E"/>
    <w:rsid w:val="0019557E"/>
    <w:rsid w:val="001A4D22"/>
    <w:rsid w:val="001A7808"/>
    <w:rsid w:val="001B012A"/>
    <w:rsid w:val="001B38F4"/>
    <w:rsid w:val="001B3EEC"/>
    <w:rsid w:val="001C78AD"/>
    <w:rsid w:val="001D55A0"/>
    <w:rsid w:val="001D700D"/>
    <w:rsid w:val="001E0B56"/>
    <w:rsid w:val="001E24F4"/>
    <w:rsid w:val="001F018B"/>
    <w:rsid w:val="001F24E2"/>
    <w:rsid w:val="001F515D"/>
    <w:rsid w:val="00204A99"/>
    <w:rsid w:val="002057F7"/>
    <w:rsid w:val="00206EB1"/>
    <w:rsid w:val="00207FB9"/>
    <w:rsid w:val="00213B76"/>
    <w:rsid w:val="00221D34"/>
    <w:rsid w:val="00223496"/>
    <w:rsid w:val="00237DE4"/>
    <w:rsid w:val="00241DC6"/>
    <w:rsid w:val="0024287E"/>
    <w:rsid w:val="00242BD7"/>
    <w:rsid w:val="00251697"/>
    <w:rsid w:val="0025603B"/>
    <w:rsid w:val="00256B69"/>
    <w:rsid w:val="00266B4D"/>
    <w:rsid w:val="0027170D"/>
    <w:rsid w:val="00271ECB"/>
    <w:rsid w:val="00273218"/>
    <w:rsid w:val="00276AA3"/>
    <w:rsid w:val="002779AA"/>
    <w:rsid w:val="00281489"/>
    <w:rsid w:val="00295881"/>
    <w:rsid w:val="002A5BCA"/>
    <w:rsid w:val="002B1083"/>
    <w:rsid w:val="002B4606"/>
    <w:rsid w:val="002D6857"/>
    <w:rsid w:val="002E2BD8"/>
    <w:rsid w:val="002E64FA"/>
    <w:rsid w:val="002F0355"/>
    <w:rsid w:val="002F2F1C"/>
    <w:rsid w:val="002F38A4"/>
    <w:rsid w:val="00300977"/>
    <w:rsid w:val="00306001"/>
    <w:rsid w:val="003152B4"/>
    <w:rsid w:val="00315E32"/>
    <w:rsid w:val="00323F01"/>
    <w:rsid w:val="00324BB9"/>
    <w:rsid w:val="003271E9"/>
    <w:rsid w:val="00334BFA"/>
    <w:rsid w:val="003363A8"/>
    <w:rsid w:val="00343528"/>
    <w:rsid w:val="0034748D"/>
    <w:rsid w:val="003474F9"/>
    <w:rsid w:val="00351CD9"/>
    <w:rsid w:val="003628EC"/>
    <w:rsid w:val="00362F60"/>
    <w:rsid w:val="003716DC"/>
    <w:rsid w:val="0037436B"/>
    <w:rsid w:val="003777D8"/>
    <w:rsid w:val="00377ADC"/>
    <w:rsid w:val="003822F0"/>
    <w:rsid w:val="00386A7D"/>
    <w:rsid w:val="003A0A56"/>
    <w:rsid w:val="003C12F5"/>
    <w:rsid w:val="003C3832"/>
    <w:rsid w:val="003C4635"/>
    <w:rsid w:val="003D5503"/>
    <w:rsid w:val="003E5E87"/>
    <w:rsid w:val="003F2DE2"/>
    <w:rsid w:val="003F464B"/>
    <w:rsid w:val="003F4A58"/>
    <w:rsid w:val="00404D18"/>
    <w:rsid w:val="00407994"/>
    <w:rsid w:val="004111CC"/>
    <w:rsid w:val="0041155E"/>
    <w:rsid w:val="0042245F"/>
    <w:rsid w:val="004245D2"/>
    <w:rsid w:val="004300F6"/>
    <w:rsid w:val="004311BB"/>
    <w:rsid w:val="004528D6"/>
    <w:rsid w:val="00455C10"/>
    <w:rsid w:val="00456293"/>
    <w:rsid w:val="00457B75"/>
    <w:rsid w:val="0046136A"/>
    <w:rsid w:val="00461EF7"/>
    <w:rsid w:val="00467A93"/>
    <w:rsid w:val="00472439"/>
    <w:rsid w:val="004727C1"/>
    <w:rsid w:val="00472B65"/>
    <w:rsid w:val="00477B4C"/>
    <w:rsid w:val="00484513"/>
    <w:rsid w:val="00497A25"/>
    <w:rsid w:val="004A58E5"/>
    <w:rsid w:val="004B0713"/>
    <w:rsid w:val="004B47EF"/>
    <w:rsid w:val="004C21C0"/>
    <w:rsid w:val="004C2EC4"/>
    <w:rsid w:val="004D067E"/>
    <w:rsid w:val="004D219C"/>
    <w:rsid w:val="004D4744"/>
    <w:rsid w:val="004D6588"/>
    <w:rsid w:val="004D7016"/>
    <w:rsid w:val="004F67EB"/>
    <w:rsid w:val="00503AF7"/>
    <w:rsid w:val="00504679"/>
    <w:rsid w:val="00505277"/>
    <w:rsid w:val="00507469"/>
    <w:rsid w:val="00511692"/>
    <w:rsid w:val="00512EB7"/>
    <w:rsid w:val="00517D4E"/>
    <w:rsid w:val="00521743"/>
    <w:rsid w:val="00523C92"/>
    <w:rsid w:val="005339A3"/>
    <w:rsid w:val="005363D4"/>
    <w:rsid w:val="00537330"/>
    <w:rsid w:val="0054414A"/>
    <w:rsid w:val="00544298"/>
    <w:rsid w:val="00544E57"/>
    <w:rsid w:val="00544F36"/>
    <w:rsid w:val="00547315"/>
    <w:rsid w:val="00547A12"/>
    <w:rsid w:val="00551F82"/>
    <w:rsid w:val="00552F3D"/>
    <w:rsid w:val="00553E87"/>
    <w:rsid w:val="00561A5F"/>
    <w:rsid w:val="00570956"/>
    <w:rsid w:val="00571044"/>
    <w:rsid w:val="00584B9B"/>
    <w:rsid w:val="00593C9F"/>
    <w:rsid w:val="005950E3"/>
    <w:rsid w:val="00597CFD"/>
    <w:rsid w:val="005A2AA9"/>
    <w:rsid w:val="005A3741"/>
    <w:rsid w:val="005B1C83"/>
    <w:rsid w:val="005B1D54"/>
    <w:rsid w:val="005B4CCE"/>
    <w:rsid w:val="005B6689"/>
    <w:rsid w:val="005D6F5A"/>
    <w:rsid w:val="005E1940"/>
    <w:rsid w:val="005E273F"/>
    <w:rsid w:val="005E5666"/>
    <w:rsid w:val="005E75A6"/>
    <w:rsid w:val="005F05B8"/>
    <w:rsid w:val="005F06D2"/>
    <w:rsid w:val="005F3529"/>
    <w:rsid w:val="005F3F70"/>
    <w:rsid w:val="006039AE"/>
    <w:rsid w:val="006075F6"/>
    <w:rsid w:val="006125EF"/>
    <w:rsid w:val="006176C4"/>
    <w:rsid w:val="006213AE"/>
    <w:rsid w:val="00624D99"/>
    <w:rsid w:val="00630982"/>
    <w:rsid w:val="00637575"/>
    <w:rsid w:val="0063778D"/>
    <w:rsid w:val="0064785E"/>
    <w:rsid w:val="00661E47"/>
    <w:rsid w:val="006634BC"/>
    <w:rsid w:val="00664082"/>
    <w:rsid w:val="006643CA"/>
    <w:rsid w:val="00666CDB"/>
    <w:rsid w:val="0067197D"/>
    <w:rsid w:val="00674F91"/>
    <w:rsid w:val="00677292"/>
    <w:rsid w:val="0068463A"/>
    <w:rsid w:val="00695991"/>
    <w:rsid w:val="006974BF"/>
    <w:rsid w:val="006A028A"/>
    <w:rsid w:val="006B2994"/>
    <w:rsid w:val="006C2712"/>
    <w:rsid w:val="006C78E8"/>
    <w:rsid w:val="006D1CB5"/>
    <w:rsid w:val="006D250F"/>
    <w:rsid w:val="006D5478"/>
    <w:rsid w:val="006D6CAE"/>
    <w:rsid w:val="006D7CF6"/>
    <w:rsid w:val="006E1117"/>
    <w:rsid w:val="006E176B"/>
    <w:rsid w:val="006E226B"/>
    <w:rsid w:val="006E6740"/>
    <w:rsid w:val="006F42CA"/>
    <w:rsid w:val="006F42E7"/>
    <w:rsid w:val="006F4502"/>
    <w:rsid w:val="006F4DE0"/>
    <w:rsid w:val="007053FB"/>
    <w:rsid w:val="00706510"/>
    <w:rsid w:val="00706AC5"/>
    <w:rsid w:val="007166A3"/>
    <w:rsid w:val="00721DC4"/>
    <w:rsid w:val="00741CC3"/>
    <w:rsid w:val="00743C43"/>
    <w:rsid w:val="00747378"/>
    <w:rsid w:val="00747B57"/>
    <w:rsid w:val="00754F63"/>
    <w:rsid w:val="00755D68"/>
    <w:rsid w:val="007573A6"/>
    <w:rsid w:val="00757DE0"/>
    <w:rsid w:val="007653B5"/>
    <w:rsid w:val="00772D6B"/>
    <w:rsid w:val="00773896"/>
    <w:rsid w:val="0078029F"/>
    <w:rsid w:val="00791DD0"/>
    <w:rsid w:val="00795158"/>
    <w:rsid w:val="007A452A"/>
    <w:rsid w:val="007A617F"/>
    <w:rsid w:val="007B017E"/>
    <w:rsid w:val="007B34F4"/>
    <w:rsid w:val="007B48DC"/>
    <w:rsid w:val="007C1400"/>
    <w:rsid w:val="007C298F"/>
    <w:rsid w:val="007C46D3"/>
    <w:rsid w:val="007D188D"/>
    <w:rsid w:val="007D191B"/>
    <w:rsid w:val="007D7FF5"/>
    <w:rsid w:val="007E0BA9"/>
    <w:rsid w:val="007E3F93"/>
    <w:rsid w:val="007E443F"/>
    <w:rsid w:val="007E48B2"/>
    <w:rsid w:val="007E6AB3"/>
    <w:rsid w:val="007E6DE4"/>
    <w:rsid w:val="007E734B"/>
    <w:rsid w:val="007F0D73"/>
    <w:rsid w:val="007F2E54"/>
    <w:rsid w:val="007F3B64"/>
    <w:rsid w:val="007F5F31"/>
    <w:rsid w:val="00804F3F"/>
    <w:rsid w:val="008115E0"/>
    <w:rsid w:val="00813985"/>
    <w:rsid w:val="0081686E"/>
    <w:rsid w:val="00823D90"/>
    <w:rsid w:val="00823E1D"/>
    <w:rsid w:val="00836BA6"/>
    <w:rsid w:val="00837A28"/>
    <w:rsid w:val="00842954"/>
    <w:rsid w:val="008456E7"/>
    <w:rsid w:val="008640F0"/>
    <w:rsid w:val="00867073"/>
    <w:rsid w:val="00885302"/>
    <w:rsid w:val="00887A2A"/>
    <w:rsid w:val="00887E18"/>
    <w:rsid w:val="00897815"/>
    <w:rsid w:val="008B546F"/>
    <w:rsid w:val="008B5A52"/>
    <w:rsid w:val="008C199B"/>
    <w:rsid w:val="008C5F18"/>
    <w:rsid w:val="008D0C52"/>
    <w:rsid w:val="008D3D56"/>
    <w:rsid w:val="008E53D3"/>
    <w:rsid w:val="008F6C6C"/>
    <w:rsid w:val="00911F93"/>
    <w:rsid w:val="00912748"/>
    <w:rsid w:val="00915D3B"/>
    <w:rsid w:val="00921307"/>
    <w:rsid w:val="009324D8"/>
    <w:rsid w:val="00932909"/>
    <w:rsid w:val="00934E8E"/>
    <w:rsid w:val="00935C0D"/>
    <w:rsid w:val="00937CC5"/>
    <w:rsid w:val="0094143E"/>
    <w:rsid w:val="0095162F"/>
    <w:rsid w:val="009530A8"/>
    <w:rsid w:val="009556D7"/>
    <w:rsid w:val="00955D9E"/>
    <w:rsid w:val="0097669F"/>
    <w:rsid w:val="00983352"/>
    <w:rsid w:val="009869C1"/>
    <w:rsid w:val="009933E8"/>
    <w:rsid w:val="00994972"/>
    <w:rsid w:val="00995D1C"/>
    <w:rsid w:val="00997BEE"/>
    <w:rsid w:val="009B6D0E"/>
    <w:rsid w:val="009C23BF"/>
    <w:rsid w:val="009C7AF2"/>
    <w:rsid w:val="009D5327"/>
    <w:rsid w:val="009E085F"/>
    <w:rsid w:val="009E5402"/>
    <w:rsid w:val="009E56CF"/>
    <w:rsid w:val="009F3137"/>
    <w:rsid w:val="00A02EE5"/>
    <w:rsid w:val="00A054A0"/>
    <w:rsid w:val="00A1042F"/>
    <w:rsid w:val="00A11CC5"/>
    <w:rsid w:val="00A123AD"/>
    <w:rsid w:val="00A126B0"/>
    <w:rsid w:val="00A23F3F"/>
    <w:rsid w:val="00A27BEB"/>
    <w:rsid w:val="00A31CFB"/>
    <w:rsid w:val="00A32C23"/>
    <w:rsid w:val="00A35AFB"/>
    <w:rsid w:val="00A433CE"/>
    <w:rsid w:val="00A50A97"/>
    <w:rsid w:val="00A50AD1"/>
    <w:rsid w:val="00A53C48"/>
    <w:rsid w:val="00A61643"/>
    <w:rsid w:val="00A638DF"/>
    <w:rsid w:val="00A64977"/>
    <w:rsid w:val="00A655C0"/>
    <w:rsid w:val="00A667EF"/>
    <w:rsid w:val="00A761B5"/>
    <w:rsid w:val="00A77CF6"/>
    <w:rsid w:val="00A8749D"/>
    <w:rsid w:val="00A87E02"/>
    <w:rsid w:val="00A92CFA"/>
    <w:rsid w:val="00A97B8C"/>
    <w:rsid w:val="00AA0AA2"/>
    <w:rsid w:val="00AA2B70"/>
    <w:rsid w:val="00AA3D4B"/>
    <w:rsid w:val="00AC597A"/>
    <w:rsid w:val="00AC7C23"/>
    <w:rsid w:val="00AD047F"/>
    <w:rsid w:val="00AD0953"/>
    <w:rsid w:val="00AD2ABB"/>
    <w:rsid w:val="00AD37DB"/>
    <w:rsid w:val="00AD3ECB"/>
    <w:rsid w:val="00AD689F"/>
    <w:rsid w:val="00AE1C11"/>
    <w:rsid w:val="00AE39F6"/>
    <w:rsid w:val="00AE5EF0"/>
    <w:rsid w:val="00AF3019"/>
    <w:rsid w:val="00B0142A"/>
    <w:rsid w:val="00B11605"/>
    <w:rsid w:val="00B20EEA"/>
    <w:rsid w:val="00B21314"/>
    <w:rsid w:val="00B34B02"/>
    <w:rsid w:val="00B45D1D"/>
    <w:rsid w:val="00B46665"/>
    <w:rsid w:val="00B46F0F"/>
    <w:rsid w:val="00B47BB7"/>
    <w:rsid w:val="00B5059B"/>
    <w:rsid w:val="00B513AB"/>
    <w:rsid w:val="00B51F49"/>
    <w:rsid w:val="00B62A17"/>
    <w:rsid w:val="00B71888"/>
    <w:rsid w:val="00B7438E"/>
    <w:rsid w:val="00B81653"/>
    <w:rsid w:val="00B8449A"/>
    <w:rsid w:val="00B8673B"/>
    <w:rsid w:val="00BA067E"/>
    <w:rsid w:val="00BB32DA"/>
    <w:rsid w:val="00BB4A19"/>
    <w:rsid w:val="00BB4A71"/>
    <w:rsid w:val="00BB6CD8"/>
    <w:rsid w:val="00BC2387"/>
    <w:rsid w:val="00BC7CD7"/>
    <w:rsid w:val="00BD63A5"/>
    <w:rsid w:val="00BE081A"/>
    <w:rsid w:val="00BE0B72"/>
    <w:rsid w:val="00BE7666"/>
    <w:rsid w:val="00BF0462"/>
    <w:rsid w:val="00BF2D23"/>
    <w:rsid w:val="00BF4A51"/>
    <w:rsid w:val="00C03E9A"/>
    <w:rsid w:val="00C0698C"/>
    <w:rsid w:val="00C12BC0"/>
    <w:rsid w:val="00C141E2"/>
    <w:rsid w:val="00C15275"/>
    <w:rsid w:val="00C179A5"/>
    <w:rsid w:val="00C22B5C"/>
    <w:rsid w:val="00C25EB2"/>
    <w:rsid w:val="00C2602F"/>
    <w:rsid w:val="00C31441"/>
    <w:rsid w:val="00C3390F"/>
    <w:rsid w:val="00C401E0"/>
    <w:rsid w:val="00C41E39"/>
    <w:rsid w:val="00C45571"/>
    <w:rsid w:val="00C507A2"/>
    <w:rsid w:val="00C52E69"/>
    <w:rsid w:val="00C60965"/>
    <w:rsid w:val="00C60A46"/>
    <w:rsid w:val="00C62CE7"/>
    <w:rsid w:val="00C6379A"/>
    <w:rsid w:val="00C6387E"/>
    <w:rsid w:val="00C63C5C"/>
    <w:rsid w:val="00C641D8"/>
    <w:rsid w:val="00C651C5"/>
    <w:rsid w:val="00C701C2"/>
    <w:rsid w:val="00C72EDE"/>
    <w:rsid w:val="00C81726"/>
    <w:rsid w:val="00C82606"/>
    <w:rsid w:val="00C90DC0"/>
    <w:rsid w:val="00CA01F2"/>
    <w:rsid w:val="00CA4436"/>
    <w:rsid w:val="00CA491B"/>
    <w:rsid w:val="00CA74D6"/>
    <w:rsid w:val="00CB21EB"/>
    <w:rsid w:val="00CB2BB1"/>
    <w:rsid w:val="00CC73BC"/>
    <w:rsid w:val="00CC7B69"/>
    <w:rsid w:val="00CD041E"/>
    <w:rsid w:val="00CD4C1D"/>
    <w:rsid w:val="00CE09CE"/>
    <w:rsid w:val="00CE3386"/>
    <w:rsid w:val="00CF0E84"/>
    <w:rsid w:val="00CF3DED"/>
    <w:rsid w:val="00CF4389"/>
    <w:rsid w:val="00D01D2A"/>
    <w:rsid w:val="00D07E59"/>
    <w:rsid w:val="00D101EF"/>
    <w:rsid w:val="00D10500"/>
    <w:rsid w:val="00D1169C"/>
    <w:rsid w:val="00D13BF9"/>
    <w:rsid w:val="00D140F5"/>
    <w:rsid w:val="00D142C4"/>
    <w:rsid w:val="00D17660"/>
    <w:rsid w:val="00D20316"/>
    <w:rsid w:val="00D2146C"/>
    <w:rsid w:val="00D22260"/>
    <w:rsid w:val="00D24D72"/>
    <w:rsid w:val="00D26207"/>
    <w:rsid w:val="00D3289F"/>
    <w:rsid w:val="00D32FF8"/>
    <w:rsid w:val="00D3533B"/>
    <w:rsid w:val="00D43501"/>
    <w:rsid w:val="00D5696F"/>
    <w:rsid w:val="00D578D5"/>
    <w:rsid w:val="00D664A3"/>
    <w:rsid w:val="00D86B37"/>
    <w:rsid w:val="00D918A7"/>
    <w:rsid w:val="00D929CC"/>
    <w:rsid w:val="00DA22AD"/>
    <w:rsid w:val="00DA6460"/>
    <w:rsid w:val="00DA6630"/>
    <w:rsid w:val="00DB24A4"/>
    <w:rsid w:val="00DB6DA1"/>
    <w:rsid w:val="00DC0932"/>
    <w:rsid w:val="00DC158B"/>
    <w:rsid w:val="00DC48A1"/>
    <w:rsid w:val="00DC6E9A"/>
    <w:rsid w:val="00DD4116"/>
    <w:rsid w:val="00DD688D"/>
    <w:rsid w:val="00DD78A8"/>
    <w:rsid w:val="00DE3AE1"/>
    <w:rsid w:val="00DE43DE"/>
    <w:rsid w:val="00DE7030"/>
    <w:rsid w:val="00DF267D"/>
    <w:rsid w:val="00E00090"/>
    <w:rsid w:val="00E02C9C"/>
    <w:rsid w:val="00E03A70"/>
    <w:rsid w:val="00E05391"/>
    <w:rsid w:val="00E21537"/>
    <w:rsid w:val="00E3022C"/>
    <w:rsid w:val="00E306AA"/>
    <w:rsid w:val="00E31236"/>
    <w:rsid w:val="00E351CE"/>
    <w:rsid w:val="00E449D3"/>
    <w:rsid w:val="00E65155"/>
    <w:rsid w:val="00E65422"/>
    <w:rsid w:val="00E65EA8"/>
    <w:rsid w:val="00E83F1B"/>
    <w:rsid w:val="00E844D1"/>
    <w:rsid w:val="00E8525B"/>
    <w:rsid w:val="00E85B63"/>
    <w:rsid w:val="00E96FE6"/>
    <w:rsid w:val="00EA086B"/>
    <w:rsid w:val="00EA2E80"/>
    <w:rsid w:val="00EA7EA6"/>
    <w:rsid w:val="00EB0501"/>
    <w:rsid w:val="00EB424E"/>
    <w:rsid w:val="00EB5DFC"/>
    <w:rsid w:val="00EB65AF"/>
    <w:rsid w:val="00ED44C2"/>
    <w:rsid w:val="00EE2717"/>
    <w:rsid w:val="00EF1D90"/>
    <w:rsid w:val="00EF49F0"/>
    <w:rsid w:val="00F02EC2"/>
    <w:rsid w:val="00F06412"/>
    <w:rsid w:val="00F13D2C"/>
    <w:rsid w:val="00F21C02"/>
    <w:rsid w:val="00F328D6"/>
    <w:rsid w:val="00F35DF4"/>
    <w:rsid w:val="00F417EE"/>
    <w:rsid w:val="00F45B49"/>
    <w:rsid w:val="00F6134E"/>
    <w:rsid w:val="00F64486"/>
    <w:rsid w:val="00F659EC"/>
    <w:rsid w:val="00F6657D"/>
    <w:rsid w:val="00F66628"/>
    <w:rsid w:val="00F67621"/>
    <w:rsid w:val="00F70A24"/>
    <w:rsid w:val="00F721AC"/>
    <w:rsid w:val="00F73755"/>
    <w:rsid w:val="00F81609"/>
    <w:rsid w:val="00F825F1"/>
    <w:rsid w:val="00F928FE"/>
    <w:rsid w:val="00FA0019"/>
    <w:rsid w:val="00FC0572"/>
    <w:rsid w:val="00FC4EAB"/>
    <w:rsid w:val="00FC5080"/>
    <w:rsid w:val="00FC5FF8"/>
    <w:rsid w:val="00FD7DFE"/>
    <w:rsid w:val="00FE0FB6"/>
    <w:rsid w:val="00FE2193"/>
    <w:rsid w:val="00FE4A38"/>
    <w:rsid w:val="00FF074C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3AD"/>
  <w15:docId w15:val="{FAB33EBB-2578-471E-88F0-E58F3A8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4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46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6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0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020"/>
    <w:rPr>
      <w:sz w:val="24"/>
      <w:szCs w:val="24"/>
    </w:rPr>
  </w:style>
  <w:style w:type="paragraph" w:styleId="Akapitzlist">
    <w:name w:val="List Paragraph"/>
    <w:aliases w:val="Styl moj,Akapit z listą11,podpunkt ankietyy,BulletList 1,Bulletlist1,Colorful List - Accent 11,Bullets Points,Bullet1,Section 5,Bullet List,Bullet 1,Lijstalinenomala,Table Legend,aotm_załączniki,List Paragraph1,BulletPoints,5 - W tabeli"/>
    <w:basedOn w:val="Normalny"/>
    <w:link w:val="AkapitzlistZnak"/>
    <w:uiPriority w:val="34"/>
    <w:qFormat/>
    <w:rsid w:val="004C2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3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3CE"/>
    <w:rPr>
      <w:b/>
      <w:bCs/>
    </w:rPr>
  </w:style>
  <w:style w:type="paragraph" w:styleId="Poprawka">
    <w:name w:val="Revision"/>
    <w:hidden/>
    <w:uiPriority w:val="99"/>
    <w:semiHidden/>
    <w:rsid w:val="001F018B"/>
    <w:rPr>
      <w:sz w:val="24"/>
      <w:szCs w:val="24"/>
    </w:rPr>
  </w:style>
  <w:style w:type="character" w:customStyle="1" w:styleId="AkapitzlistZnak">
    <w:name w:val="Akapit z listą Znak"/>
    <w:aliases w:val="Styl moj Znak,Akapit z listą11 Znak,podpunkt ankietyy Znak,BulletList 1 Znak,Bulletlist1 Znak,Colorful List - Accent 11 Znak,Bullets Points Znak,Bullet1 Znak,Section 5 Znak,Bullet List Znak,Bullet 1 Znak,Lijstalinenomala Znak"/>
    <w:link w:val="Akapitzlist"/>
    <w:uiPriority w:val="72"/>
    <w:qFormat/>
    <w:locked/>
    <w:rsid w:val="00003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BCC9-B150-4247-85DA-6CF3F81A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3410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Królak-Buzakowska Joanna</dc:creator>
  <cp:lastModifiedBy>Joanna Królak-Buzakowska</cp:lastModifiedBy>
  <cp:revision>6</cp:revision>
  <cp:lastPrinted>2017-07-25T07:04:00Z</cp:lastPrinted>
  <dcterms:created xsi:type="dcterms:W3CDTF">2022-12-07T07:05:00Z</dcterms:created>
  <dcterms:modified xsi:type="dcterms:W3CDTF">2022-12-07T07:34:00Z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cf5f57d9a80265e9a0ee6cc5f5c79dbdf1c9b26f684d74cbe420faf1bfb5a691</vt:lpwstr>
  </property>
</Properties>
</file>